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AC" w:rsidRPr="00CA0697" w:rsidRDefault="00B22AAC" w:rsidP="00B22AAC">
      <w:pPr>
        <w:pStyle w:val="af4"/>
        <w:jc w:val="right"/>
        <w:rPr>
          <w:rFonts w:ascii="Times New Roman" w:hAnsi="Times New Roman"/>
          <w:sz w:val="20"/>
          <w:lang w:val="uk-UA"/>
        </w:rPr>
      </w:pPr>
      <w:r w:rsidRPr="00D6170F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6D98AE7" wp14:editId="52B27E7B">
            <wp:simplePos x="0" y="0"/>
            <wp:positionH relativeFrom="margin">
              <wp:posOffset>2620635</wp:posOffset>
            </wp:positionH>
            <wp:positionV relativeFrom="paragraph">
              <wp:posOffset>9525</wp:posOffset>
            </wp:positionV>
            <wp:extent cx="431800" cy="598170"/>
            <wp:effectExtent l="19050" t="0" r="635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lang w:val="uk-UA"/>
        </w:rPr>
        <w:t xml:space="preserve"> </w:t>
      </w:r>
    </w:p>
    <w:p w:rsidR="00B22AAC" w:rsidRPr="00813597" w:rsidRDefault="00B22AAC" w:rsidP="00B22AAC">
      <w:pPr>
        <w:spacing w:after="0"/>
        <w:jc w:val="center"/>
        <w:rPr>
          <w:lang w:val="uk-UA"/>
        </w:rPr>
      </w:pPr>
    </w:p>
    <w:p w:rsidR="00B22AAC" w:rsidRDefault="00B22AAC" w:rsidP="00B22AAC">
      <w:pPr>
        <w:pStyle w:val="af4"/>
        <w:rPr>
          <w:rFonts w:ascii="Times New Roman" w:hAnsi="Times New Roman"/>
          <w:b/>
          <w:sz w:val="32"/>
          <w:szCs w:val="32"/>
        </w:rPr>
      </w:pPr>
    </w:p>
    <w:p w:rsidR="00B22AAC" w:rsidRDefault="00B22AAC" w:rsidP="00B22AAC">
      <w:pPr>
        <w:pStyle w:val="af4"/>
        <w:rPr>
          <w:rFonts w:ascii="Times New Roman" w:hAnsi="Times New Roman"/>
          <w:b/>
          <w:sz w:val="32"/>
          <w:szCs w:val="32"/>
        </w:rPr>
      </w:pPr>
    </w:p>
    <w:p w:rsidR="00B22AAC" w:rsidRPr="0006218E" w:rsidRDefault="00B22AAC" w:rsidP="00B22AAC">
      <w:pPr>
        <w:pStyle w:val="af4"/>
        <w:rPr>
          <w:rFonts w:ascii="Times New Roman" w:hAnsi="Times New Roman"/>
          <w:b/>
          <w:sz w:val="32"/>
          <w:szCs w:val="32"/>
        </w:rPr>
      </w:pPr>
      <w:r w:rsidRPr="0006218E">
        <w:rPr>
          <w:rFonts w:ascii="Times New Roman" w:hAnsi="Times New Roman"/>
          <w:b/>
          <w:sz w:val="32"/>
          <w:szCs w:val="32"/>
        </w:rPr>
        <w:t>ГРЕБІНКІВСЬКА СЕЛИЩНА РАДА</w:t>
      </w:r>
    </w:p>
    <w:p w:rsidR="00B22AAC" w:rsidRPr="0006218E" w:rsidRDefault="00B22AAC" w:rsidP="00B22AAC">
      <w:pPr>
        <w:pStyle w:val="af4"/>
        <w:rPr>
          <w:rFonts w:ascii="Times New Roman" w:hAnsi="Times New Roman"/>
          <w:b/>
          <w:sz w:val="32"/>
          <w:szCs w:val="32"/>
        </w:rPr>
      </w:pPr>
      <w:proofErr w:type="spellStart"/>
      <w:r w:rsidRPr="0006218E">
        <w:rPr>
          <w:rFonts w:ascii="Times New Roman" w:hAnsi="Times New Roman"/>
          <w:b/>
          <w:sz w:val="32"/>
          <w:szCs w:val="32"/>
        </w:rPr>
        <w:t>Білоцерківського</w:t>
      </w:r>
      <w:proofErr w:type="spellEnd"/>
      <w:r w:rsidRPr="0006218E">
        <w:rPr>
          <w:rFonts w:ascii="Times New Roman" w:hAnsi="Times New Roman"/>
          <w:b/>
          <w:sz w:val="32"/>
          <w:szCs w:val="32"/>
        </w:rPr>
        <w:t xml:space="preserve"> району </w:t>
      </w:r>
      <w:proofErr w:type="spellStart"/>
      <w:r w:rsidRPr="0006218E">
        <w:rPr>
          <w:rFonts w:ascii="Times New Roman" w:hAnsi="Times New Roman"/>
          <w:b/>
          <w:sz w:val="32"/>
          <w:szCs w:val="32"/>
        </w:rPr>
        <w:t>Київської</w:t>
      </w:r>
      <w:proofErr w:type="spellEnd"/>
      <w:r w:rsidRPr="0006218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6218E">
        <w:rPr>
          <w:rFonts w:ascii="Times New Roman" w:hAnsi="Times New Roman"/>
          <w:b/>
          <w:sz w:val="32"/>
          <w:szCs w:val="32"/>
        </w:rPr>
        <w:t>області</w:t>
      </w:r>
      <w:proofErr w:type="spellEnd"/>
    </w:p>
    <w:p w:rsidR="00B22AAC" w:rsidRPr="0006218E" w:rsidRDefault="00B22AAC" w:rsidP="00B22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6218E">
        <w:rPr>
          <w:rFonts w:ascii="Times New Roman" w:hAnsi="Times New Roman" w:cs="Times New Roman"/>
          <w:b/>
          <w:bCs/>
          <w:sz w:val="32"/>
          <w:szCs w:val="32"/>
          <w:lang w:val="en-US"/>
        </w:rPr>
        <w:t>VIII</w:t>
      </w:r>
      <w:r w:rsidRPr="0006218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:rsidR="00B22AAC" w:rsidRPr="000651C5" w:rsidRDefault="00B22AAC" w:rsidP="00B22AA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B22AAC" w:rsidRPr="000651C5" w:rsidRDefault="00B22AAC" w:rsidP="00B22A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651C5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РІШЕННЯ </w:t>
      </w:r>
    </w:p>
    <w:p w:rsidR="00B22AAC" w:rsidRPr="000651C5" w:rsidRDefault="00B22AAC" w:rsidP="00B22AAC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B22AAC" w:rsidRPr="000651C5" w:rsidRDefault="00B22AAC" w:rsidP="00B22AA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651C5">
        <w:rPr>
          <w:rFonts w:ascii="Times New Roman" w:hAnsi="Times New Roman" w:cs="Times New Roman"/>
          <w:b/>
          <w:sz w:val="28"/>
          <w:szCs w:val="28"/>
          <w:lang w:val="uk-UA"/>
        </w:rPr>
        <w:t>від 12 липня 2022 року               смт Гребінки</w:t>
      </w:r>
      <w:r w:rsidRPr="000651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0651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42</w:t>
      </w:r>
      <w:r w:rsidRPr="00B22AAC">
        <w:rPr>
          <w:rFonts w:ascii="Times New Roman" w:hAnsi="Times New Roman" w:cs="Times New Roman"/>
          <w:b/>
          <w:sz w:val="28"/>
          <w:szCs w:val="28"/>
        </w:rPr>
        <w:t>4</w:t>
      </w:r>
      <w:r w:rsidRPr="000651C5">
        <w:rPr>
          <w:rFonts w:ascii="Times New Roman" w:hAnsi="Times New Roman" w:cs="Times New Roman"/>
          <w:b/>
          <w:sz w:val="28"/>
          <w:szCs w:val="28"/>
          <w:lang w:val="uk-UA"/>
        </w:rPr>
        <w:t>-16-</w:t>
      </w:r>
      <w:r w:rsidRPr="00065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VIII</w:t>
      </w:r>
    </w:p>
    <w:p w:rsidR="00EC2694" w:rsidRPr="00B22AAC" w:rsidRDefault="00EC2694" w:rsidP="00EC2694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</w:rPr>
      </w:pPr>
    </w:p>
    <w:p w:rsidR="00EC2694" w:rsidRPr="00B22AAC" w:rsidRDefault="00EC2694" w:rsidP="00B22AAC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>Про встановлення ставок та пільг</w:t>
      </w:r>
    </w:p>
    <w:p w:rsidR="00EC2694" w:rsidRPr="00B22AAC" w:rsidRDefault="00EC2694" w:rsidP="00B22AAC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 xml:space="preserve"> із сплати податку на нерухоме майно,</w:t>
      </w:r>
    </w:p>
    <w:p w:rsidR="00EC2694" w:rsidRPr="00B22AAC" w:rsidRDefault="00EC2694" w:rsidP="00B22AAC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>відмінне від земельної ділянки,</w:t>
      </w:r>
      <w:r w:rsidR="00B22AAC" w:rsidRPr="00B22AAC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noProof/>
          <w:sz w:val="28"/>
          <w:szCs w:val="28"/>
          <w:lang w:val="ru-RU"/>
        </w:rPr>
        <w:t xml:space="preserve">на 2023 рік </w:t>
      </w:r>
    </w:p>
    <w:p w:rsidR="00B22AAC" w:rsidRDefault="00EC2694" w:rsidP="00B22AAC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 xml:space="preserve">на території Гребінківської селищної </w:t>
      </w:r>
    </w:p>
    <w:p w:rsidR="00B22AAC" w:rsidRDefault="00EC2694" w:rsidP="00B22AAC">
      <w:pPr>
        <w:pStyle w:val="ae"/>
        <w:spacing w:before="0" w:after="0"/>
        <w:jc w:val="left"/>
        <w:rPr>
          <w:rFonts w:ascii="Times New Roman" w:hAnsi="Times New Roman"/>
          <w:noProof/>
          <w:sz w:val="28"/>
          <w:szCs w:val="28"/>
          <w:lang w:val="ru-RU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 xml:space="preserve">територіальної громади, код згідно </w:t>
      </w:r>
    </w:p>
    <w:p w:rsidR="00EC2694" w:rsidRDefault="00EC2694" w:rsidP="007641F8">
      <w:pPr>
        <w:pStyle w:val="ae"/>
        <w:spacing w:before="0" w:after="0"/>
        <w:jc w:val="left"/>
        <w:rPr>
          <w:rFonts w:ascii="Times New Roman" w:hAnsi="Times New Roman"/>
          <w:color w:val="000000"/>
          <w:sz w:val="28"/>
          <w:szCs w:val="28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>з КОАТУУ</w:t>
      </w:r>
      <w:r w:rsidRPr="00B22AAC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color w:val="000000"/>
          <w:sz w:val="28"/>
          <w:szCs w:val="28"/>
        </w:rPr>
        <w:t>UA32020050000062595</w:t>
      </w:r>
    </w:p>
    <w:p w:rsidR="00B22AAC" w:rsidRPr="00B22AAC" w:rsidRDefault="00B22AAC" w:rsidP="007641F8">
      <w:pPr>
        <w:pStyle w:val="ad"/>
        <w:spacing w:before="0"/>
      </w:pPr>
    </w:p>
    <w:p w:rsidR="00EC2694" w:rsidRPr="00B22AAC" w:rsidRDefault="00EC2694" w:rsidP="007641F8">
      <w:pPr>
        <w:pStyle w:val="ad"/>
        <w:spacing w:before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>Керуючис</w:t>
      </w:r>
      <w:r w:rsidRPr="00B22AAC">
        <w:rPr>
          <w:rFonts w:ascii="Times New Roman" w:hAnsi="Times New Roman"/>
          <w:noProof/>
          <w:sz w:val="28"/>
          <w:szCs w:val="28"/>
        </w:rPr>
        <w:t>ь</w:t>
      </w:r>
      <w:r w:rsidRPr="00B22AAC">
        <w:rPr>
          <w:rFonts w:ascii="Times New Roman" w:hAnsi="Times New Roman"/>
          <w:noProof/>
          <w:sz w:val="28"/>
          <w:szCs w:val="28"/>
          <w:lang w:val="ru-RU"/>
        </w:rPr>
        <w:t xml:space="preserve"> статтею 266 Податкового кодексу України із змінами, пунктом 24 частини першої статті 26 Закону України </w:t>
      </w:r>
      <w:r w:rsidR="00B22AAC">
        <w:rPr>
          <w:rFonts w:ascii="Times New Roman" w:hAnsi="Times New Roman"/>
          <w:noProof/>
          <w:sz w:val="28"/>
          <w:szCs w:val="28"/>
        </w:rPr>
        <w:t>«</w:t>
      </w:r>
      <w:r w:rsidRPr="00B22AAC">
        <w:rPr>
          <w:rFonts w:ascii="Times New Roman" w:hAnsi="Times New Roman"/>
          <w:noProof/>
          <w:sz w:val="28"/>
          <w:szCs w:val="28"/>
          <w:lang w:val="ru-RU"/>
        </w:rPr>
        <w:t>Про місцеве самоврядування в Україні</w:t>
      </w:r>
      <w:r w:rsidR="00B22AAC">
        <w:rPr>
          <w:rFonts w:ascii="Times New Roman" w:hAnsi="Times New Roman"/>
          <w:noProof/>
          <w:sz w:val="28"/>
          <w:szCs w:val="28"/>
          <w:lang w:val="ru-RU"/>
        </w:rPr>
        <w:t>»</w:t>
      </w:r>
      <w:r w:rsidRPr="00B22AAC"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B22A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Постановою Кабінету Міністрів України від 24 травня 2017 р. № 483 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ділянки»,</w:t>
      </w:r>
      <w:r w:rsidRPr="00B22AAC">
        <w:rPr>
          <w:rFonts w:ascii="Times New Roman" w:hAnsi="Times New Roman"/>
          <w:noProof/>
          <w:sz w:val="28"/>
          <w:szCs w:val="28"/>
        </w:rPr>
        <w:t xml:space="preserve"> </w:t>
      </w:r>
      <w:r w:rsidR="00B22AAC" w:rsidRPr="0006218E">
        <w:rPr>
          <w:rFonts w:ascii="Times New Roman" w:hAnsi="Times New Roman"/>
          <w:sz w:val="28"/>
          <w:szCs w:val="28"/>
        </w:rPr>
        <w:t>враховуючи рекомендації комісії з питань фінансів, бюджету, планування, соціально-економічного розвитку, інвестицій та міжнародного співробітництва, погодження постійних комісій селищної ради</w:t>
      </w:r>
      <w:r w:rsidR="00B22AAC">
        <w:rPr>
          <w:rFonts w:ascii="Times New Roman" w:hAnsi="Times New Roman"/>
          <w:sz w:val="28"/>
          <w:szCs w:val="28"/>
        </w:rPr>
        <w:t>,</w:t>
      </w:r>
      <w:r w:rsidR="00B22AAC" w:rsidRPr="00B22AAC">
        <w:rPr>
          <w:rFonts w:ascii="Times New Roman" w:hAnsi="Times New Roman"/>
          <w:noProof/>
          <w:sz w:val="28"/>
          <w:szCs w:val="28"/>
        </w:rPr>
        <w:t xml:space="preserve"> </w:t>
      </w:r>
      <w:r w:rsidRPr="00B22AAC">
        <w:rPr>
          <w:rFonts w:ascii="Times New Roman" w:hAnsi="Times New Roman"/>
          <w:noProof/>
          <w:sz w:val="28"/>
          <w:szCs w:val="28"/>
        </w:rPr>
        <w:t>Гребінківська селищна рада</w:t>
      </w:r>
    </w:p>
    <w:p w:rsidR="00B22AAC" w:rsidRDefault="00B22AAC" w:rsidP="00B22AAC">
      <w:pPr>
        <w:pStyle w:val="ad"/>
        <w:spacing w:before="0"/>
        <w:ind w:firstLine="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C2694" w:rsidRDefault="00EC2694" w:rsidP="00B22AAC">
      <w:pPr>
        <w:pStyle w:val="ad"/>
        <w:spacing w:before="0"/>
        <w:ind w:firstLine="0"/>
        <w:jc w:val="both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B22AAC">
        <w:rPr>
          <w:rFonts w:ascii="Times New Roman" w:hAnsi="Times New Roman"/>
          <w:b/>
          <w:noProof/>
          <w:sz w:val="28"/>
          <w:szCs w:val="28"/>
          <w:lang w:val="ru-RU"/>
        </w:rPr>
        <w:t>В</w:t>
      </w:r>
      <w:r w:rsidR="00B22AAC" w:rsidRPr="00DD3BE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b/>
          <w:noProof/>
          <w:sz w:val="28"/>
          <w:szCs w:val="28"/>
          <w:lang w:val="ru-RU"/>
        </w:rPr>
        <w:t>И</w:t>
      </w:r>
      <w:r w:rsidR="00B22AAC" w:rsidRPr="00DD3BE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b/>
          <w:noProof/>
          <w:sz w:val="28"/>
          <w:szCs w:val="28"/>
          <w:lang w:val="ru-RU"/>
        </w:rPr>
        <w:t>Р</w:t>
      </w:r>
      <w:r w:rsidR="00B22AAC" w:rsidRPr="00DD3BE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b/>
          <w:noProof/>
          <w:sz w:val="28"/>
          <w:szCs w:val="28"/>
          <w:lang w:val="ru-RU"/>
        </w:rPr>
        <w:t>І</w:t>
      </w:r>
      <w:r w:rsidR="00B22AAC" w:rsidRPr="00DD3BE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b/>
          <w:noProof/>
          <w:sz w:val="28"/>
          <w:szCs w:val="28"/>
          <w:lang w:val="ru-RU"/>
        </w:rPr>
        <w:t>Ш</w:t>
      </w:r>
      <w:r w:rsidR="00B22AAC" w:rsidRPr="00DD3BE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b/>
          <w:noProof/>
          <w:sz w:val="28"/>
          <w:szCs w:val="28"/>
          <w:lang w:val="ru-RU"/>
        </w:rPr>
        <w:t>И</w:t>
      </w:r>
      <w:r w:rsidR="00B22AAC" w:rsidRPr="00DD3BE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b/>
          <w:noProof/>
          <w:sz w:val="28"/>
          <w:szCs w:val="28"/>
          <w:lang w:val="ru-RU"/>
        </w:rPr>
        <w:t>Л</w:t>
      </w:r>
      <w:r w:rsidR="00B22AAC" w:rsidRPr="00DD3BE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b/>
          <w:noProof/>
          <w:sz w:val="28"/>
          <w:szCs w:val="28"/>
          <w:lang w:val="ru-RU"/>
        </w:rPr>
        <w:t>А</w:t>
      </w:r>
      <w:r w:rsidR="00B22AAC" w:rsidRPr="00DD3BE8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B22AAC">
        <w:rPr>
          <w:rFonts w:ascii="Times New Roman" w:hAnsi="Times New Roman"/>
          <w:b/>
          <w:noProof/>
          <w:sz w:val="28"/>
          <w:szCs w:val="28"/>
          <w:lang w:val="ru-RU"/>
        </w:rPr>
        <w:t>:</w:t>
      </w:r>
    </w:p>
    <w:p w:rsidR="00B22AAC" w:rsidRPr="00B22AAC" w:rsidRDefault="00B22AAC" w:rsidP="00B22AAC">
      <w:pPr>
        <w:pStyle w:val="ad"/>
        <w:spacing w:before="0"/>
        <w:ind w:firstLine="0"/>
        <w:jc w:val="both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EC2694" w:rsidRPr="00B22AAC" w:rsidRDefault="00EC2694" w:rsidP="00C43447">
      <w:pPr>
        <w:pStyle w:val="ad"/>
        <w:tabs>
          <w:tab w:val="left" w:pos="851"/>
        </w:tabs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>1.</w:t>
      </w:r>
      <w:r w:rsidR="00C43447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B22AAC">
        <w:rPr>
          <w:rFonts w:ascii="Times New Roman" w:hAnsi="Times New Roman"/>
          <w:noProof/>
          <w:sz w:val="28"/>
          <w:szCs w:val="28"/>
        </w:rPr>
        <w:t>В</w:t>
      </w:r>
      <w:r w:rsidRPr="00B22AAC">
        <w:rPr>
          <w:rFonts w:ascii="Times New Roman" w:hAnsi="Times New Roman"/>
          <w:noProof/>
          <w:sz w:val="28"/>
          <w:szCs w:val="28"/>
          <w:lang w:val="ru-RU"/>
        </w:rPr>
        <w:t>становити на території  Гребінківської селищної ради:</w:t>
      </w:r>
    </w:p>
    <w:p w:rsidR="00EC2694" w:rsidRPr="00B22AAC" w:rsidRDefault="00EC2694" w:rsidP="00C43447">
      <w:pPr>
        <w:pStyle w:val="ad"/>
        <w:spacing w:before="0"/>
        <w:ind w:left="1134" w:hanging="28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>1)</w:t>
      </w:r>
      <w:r w:rsidR="00C43447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B22AAC">
        <w:rPr>
          <w:rFonts w:ascii="Times New Roman" w:hAnsi="Times New Roman"/>
          <w:noProof/>
          <w:sz w:val="28"/>
          <w:szCs w:val="28"/>
          <w:lang w:val="ru-RU"/>
        </w:rPr>
        <w:t>ставки податку на нерухоме майно, відмінне від земельної ділянки, згідно з додатком 1;</w:t>
      </w:r>
    </w:p>
    <w:p w:rsidR="00EC2694" w:rsidRDefault="00EC2694" w:rsidP="00C43447">
      <w:pPr>
        <w:pStyle w:val="ad"/>
        <w:spacing w:before="0"/>
        <w:ind w:left="1134" w:hanging="28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B22AAC">
        <w:rPr>
          <w:rFonts w:ascii="Times New Roman" w:hAnsi="Times New Roman"/>
          <w:noProof/>
          <w:sz w:val="28"/>
          <w:szCs w:val="28"/>
          <w:lang w:val="ru-RU"/>
        </w:rPr>
        <w:t>2)</w:t>
      </w:r>
      <w:r w:rsidR="00C43447">
        <w:rPr>
          <w:rFonts w:ascii="Times New Roman" w:hAnsi="Times New Roman"/>
          <w:noProof/>
          <w:sz w:val="28"/>
          <w:szCs w:val="28"/>
          <w:lang w:val="ru-RU"/>
        </w:rPr>
        <w:tab/>
      </w:r>
      <w:r w:rsidRPr="00B22AAC">
        <w:rPr>
          <w:rFonts w:ascii="Times New Roman" w:hAnsi="Times New Roman"/>
          <w:noProof/>
          <w:sz w:val="28"/>
          <w:szCs w:val="28"/>
          <w:lang w:val="ru-RU"/>
        </w:rPr>
        <w:t>пільги для фізичних та юридичних осіб, надані відповідно до підпункту 266.4.2 пункту 266.4 статті 266 Податкового кодексу України та Закону України «Про соціальний і правовий захист військовослужбовців та членів їх сімей», за переліком згідно з додатком 2.</w:t>
      </w:r>
    </w:p>
    <w:p w:rsidR="00C43447" w:rsidRPr="00B22AAC" w:rsidRDefault="00C43447" w:rsidP="00C43447">
      <w:pPr>
        <w:pStyle w:val="ad"/>
        <w:spacing w:before="0"/>
        <w:ind w:left="1134" w:hanging="283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EC2694" w:rsidRDefault="00C43447" w:rsidP="00B22AAC">
      <w:pPr>
        <w:pStyle w:val="ad"/>
        <w:spacing w:before="0"/>
        <w:ind w:left="851" w:hanging="284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</w:t>
      </w:r>
      <w:r w:rsidR="00EC2694" w:rsidRPr="00B22AAC">
        <w:rPr>
          <w:rFonts w:ascii="Times New Roman" w:hAnsi="Times New Roman"/>
          <w:noProof/>
          <w:sz w:val="28"/>
          <w:szCs w:val="28"/>
          <w:lang w:val="ru-RU"/>
        </w:rPr>
        <w:t>.</w:t>
      </w:r>
      <w:r>
        <w:rPr>
          <w:rFonts w:ascii="Times New Roman" w:hAnsi="Times New Roman"/>
          <w:noProof/>
          <w:sz w:val="28"/>
          <w:szCs w:val="28"/>
          <w:lang w:val="ru-RU"/>
        </w:rPr>
        <w:tab/>
      </w:r>
      <w:r w:rsidR="00EC2694" w:rsidRPr="00B22AAC">
        <w:rPr>
          <w:rFonts w:ascii="Times New Roman" w:hAnsi="Times New Roman"/>
          <w:noProof/>
          <w:sz w:val="28"/>
          <w:szCs w:val="28"/>
          <w:lang w:val="ru-RU"/>
        </w:rPr>
        <w:t>Затвердити Положення до даного рішення згідно з додатком 3.</w:t>
      </w:r>
    </w:p>
    <w:p w:rsidR="00C43447" w:rsidRPr="00B22AAC" w:rsidRDefault="00C43447" w:rsidP="00B22AAC">
      <w:pPr>
        <w:pStyle w:val="ad"/>
        <w:spacing w:before="0"/>
        <w:ind w:left="851" w:hanging="284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C43447" w:rsidRDefault="00C43447" w:rsidP="00C43447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="00EC2694" w:rsidRPr="00B22AAC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352D82">
        <w:rPr>
          <w:rFonts w:ascii="Times New Roman" w:eastAsia="Times New Roman" w:hAnsi="Times New Roman" w:cs="Times New Roman"/>
          <w:kern w:val="32"/>
          <w:sz w:val="28"/>
          <w:szCs w:val="28"/>
          <w:lang w:val="uk-UA"/>
        </w:rPr>
        <w:t>ішення оприлюднити у відповідності до вимог чинного законодавства</w:t>
      </w:r>
      <w:r w:rsidRPr="00AD780D">
        <w:rPr>
          <w:rFonts w:ascii="Times New Roman" w:hAnsi="Times New Roman"/>
          <w:sz w:val="28"/>
          <w:szCs w:val="28"/>
          <w:lang w:val="uk-UA"/>
        </w:rPr>
        <w:t>.</w:t>
      </w:r>
    </w:p>
    <w:p w:rsidR="00C43447" w:rsidRPr="00AD780D" w:rsidRDefault="00C43447" w:rsidP="00C43447">
      <w:p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3447" w:rsidRDefault="00C43447" w:rsidP="00C4344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8B7C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Рішення набирає чинності з 01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січня </w:t>
      </w:r>
      <w:r w:rsidRPr="008B7CC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2023 року.</w:t>
      </w:r>
    </w:p>
    <w:p w:rsidR="00C43447" w:rsidRPr="008B7CC1" w:rsidRDefault="00C43447" w:rsidP="00C43447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</w:p>
    <w:p w:rsidR="00EC2694" w:rsidRDefault="00C43447" w:rsidP="00C43447">
      <w:pPr>
        <w:pStyle w:val="ad"/>
        <w:spacing w:before="0"/>
        <w:ind w:left="851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5</w:t>
      </w:r>
      <w:r w:rsidRPr="008B7CC1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ab/>
      </w:r>
      <w:r w:rsidRPr="00352D82">
        <w:rPr>
          <w:rFonts w:ascii="Times New Roman" w:hAnsi="Times New Roman"/>
          <w:kern w:val="32"/>
          <w:sz w:val="28"/>
          <w:szCs w:val="28"/>
        </w:rPr>
        <w:t>Направити копію цього рішення до ГУ ДПС у Київській області у паперовій та електронній формах для здійснення контролю за нарахуванням та сплатою до бюджету Гребінківської селищної територіальної громади місцевих податків та зборів у десятиденний строк з дня прийняття, але не пізніше 25 липня поточного року</w:t>
      </w:r>
      <w:r w:rsidRPr="008B7CC1">
        <w:rPr>
          <w:rFonts w:ascii="Times New Roman" w:hAnsi="Times New Roman"/>
          <w:noProof/>
          <w:sz w:val="28"/>
          <w:szCs w:val="28"/>
        </w:rPr>
        <w:t>.</w:t>
      </w:r>
    </w:p>
    <w:p w:rsidR="00C43447" w:rsidRPr="00C43447" w:rsidRDefault="00C43447" w:rsidP="00C43447">
      <w:pPr>
        <w:pStyle w:val="ad"/>
        <w:spacing w:before="0"/>
        <w:ind w:left="851" w:hanging="284"/>
        <w:jc w:val="both"/>
        <w:rPr>
          <w:rFonts w:ascii="Times New Roman" w:hAnsi="Times New Roman"/>
          <w:noProof/>
          <w:sz w:val="28"/>
          <w:szCs w:val="28"/>
        </w:rPr>
      </w:pPr>
    </w:p>
    <w:p w:rsidR="00EC2694" w:rsidRPr="00C43447" w:rsidRDefault="00C43447" w:rsidP="00B22AAC">
      <w:pPr>
        <w:pStyle w:val="ad"/>
        <w:spacing w:before="0"/>
        <w:ind w:left="851" w:hanging="284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6</w:t>
      </w:r>
      <w:r w:rsidR="00EC2694" w:rsidRPr="00C43447">
        <w:rPr>
          <w:rFonts w:ascii="Times New Roman" w:hAnsi="Times New Roman"/>
          <w:noProof/>
          <w:sz w:val="28"/>
          <w:szCs w:val="28"/>
        </w:rPr>
        <w:t>.</w:t>
      </w:r>
      <w:r w:rsidRPr="00C43447">
        <w:rPr>
          <w:rFonts w:ascii="Times New Roman" w:hAnsi="Times New Roman"/>
          <w:noProof/>
          <w:sz w:val="28"/>
          <w:szCs w:val="28"/>
        </w:rPr>
        <w:tab/>
      </w:r>
      <w:r w:rsidR="00EC2694" w:rsidRPr="00C43447">
        <w:rPr>
          <w:rFonts w:ascii="Times New Roman" w:hAnsi="Times New Roman"/>
          <w:noProof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EC2694" w:rsidRPr="00B22AAC">
        <w:rPr>
          <w:rFonts w:ascii="Times New Roman" w:hAnsi="Times New Roman"/>
          <w:sz w:val="28"/>
          <w:szCs w:val="28"/>
        </w:rPr>
        <w:t>на постійну комісію з питань фінансів, бюджету, планування, соціально-економічного розвитку, інвестицій та міжнародного співробітництва</w:t>
      </w:r>
      <w:r w:rsidR="00A97AD6" w:rsidRPr="00B22AAC">
        <w:rPr>
          <w:rFonts w:ascii="Times New Roman" w:hAnsi="Times New Roman"/>
          <w:sz w:val="28"/>
          <w:szCs w:val="28"/>
        </w:rPr>
        <w:t xml:space="preserve"> та заступника селищного голови Олександра ВОЛОЩУКА.</w:t>
      </w:r>
    </w:p>
    <w:p w:rsidR="00C43447" w:rsidRDefault="00C43447" w:rsidP="00B22AAC">
      <w:pPr>
        <w:pStyle w:val="ad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</w:rPr>
      </w:pPr>
    </w:p>
    <w:p w:rsidR="00EC2694" w:rsidRPr="00C43447" w:rsidRDefault="00EC2694" w:rsidP="00C43447">
      <w:pPr>
        <w:pStyle w:val="ad"/>
        <w:spacing w:before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C43447">
        <w:rPr>
          <w:rFonts w:ascii="Times New Roman" w:hAnsi="Times New Roman"/>
          <w:b/>
          <w:noProof/>
          <w:sz w:val="28"/>
          <w:szCs w:val="28"/>
        </w:rPr>
        <w:t xml:space="preserve">Селищний голова                    </w:t>
      </w:r>
      <w:r w:rsidR="00C43447">
        <w:rPr>
          <w:rFonts w:ascii="Times New Roman" w:hAnsi="Times New Roman"/>
          <w:b/>
          <w:noProof/>
          <w:sz w:val="28"/>
          <w:szCs w:val="28"/>
        </w:rPr>
        <w:t xml:space="preserve">            </w:t>
      </w:r>
      <w:r w:rsidRPr="00C43447">
        <w:rPr>
          <w:rFonts w:ascii="Times New Roman" w:hAnsi="Times New Roman"/>
          <w:b/>
          <w:noProof/>
          <w:sz w:val="28"/>
          <w:szCs w:val="28"/>
        </w:rPr>
        <w:t xml:space="preserve">                   Роман ЗАСУХА</w:t>
      </w:r>
    </w:p>
    <w:p w:rsidR="00EC2694" w:rsidRDefault="00EC2694" w:rsidP="00EC2694">
      <w:pPr>
        <w:pStyle w:val="ad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C43447" w:rsidRPr="006146AB" w:rsidRDefault="00C43447" w:rsidP="00C43447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46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 №1</w:t>
      </w:r>
    </w:p>
    <w:p w:rsidR="00C43447" w:rsidRPr="006146AB" w:rsidRDefault="00C43447" w:rsidP="00C43447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46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рішення </w:t>
      </w:r>
    </w:p>
    <w:p w:rsidR="00C43447" w:rsidRDefault="00C43447" w:rsidP="00C43447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46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Гребінківської селищної ради</w:t>
      </w:r>
    </w:p>
    <w:p w:rsidR="00EC2694" w:rsidRPr="00C43447" w:rsidRDefault="00C43447" w:rsidP="00C43447">
      <w:pPr>
        <w:pStyle w:val="a5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146AB">
        <w:rPr>
          <w:rFonts w:ascii="Times New Roman" w:hAnsi="Times New Roman" w:cs="Times New Roman"/>
          <w:b/>
          <w:sz w:val="24"/>
          <w:szCs w:val="24"/>
        </w:rPr>
        <w:t>ід 12 липня 2022 року № 42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146AB">
        <w:rPr>
          <w:rFonts w:ascii="Times New Roman" w:hAnsi="Times New Roman" w:cs="Times New Roman"/>
          <w:b/>
          <w:sz w:val="24"/>
          <w:szCs w:val="24"/>
        </w:rPr>
        <w:t>-16-VIII</w:t>
      </w:r>
      <w:r w:rsidR="00EC26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3447" w:rsidRDefault="00C43447" w:rsidP="00EC2694">
      <w:pPr>
        <w:pStyle w:val="ae"/>
        <w:spacing w:before="0" w:after="0"/>
        <w:rPr>
          <w:rFonts w:ascii="Times New Roman" w:hAnsi="Times New Roman"/>
          <w:noProof/>
          <w:sz w:val="24"/>
          <w:szCs w:val="24"/>
        </w:rPr>
      </w:pPr>
    </w:p>
    <w:p w:rsidR="00EC2694" w:rsidRPr="00C43447" w:rsidRDefault="00EC2694" w:rsidP="00EC2694">
      <w:pPr>
        <w:pStyle w:val="ae"/>
        <w:spacing w:before="0" w:after="0"/>
        <w:rPr>
          <w:rFonts w:ascii="Times New Roman" w:hAnsi="Times New Roman"/>
          <w:noProof/>
          <w:sz w:val="28"/>
          <w:szCs w:val="28"/>
        </w:rPr>
      </w:pPr>
      <w:r w:rsidRPr="00C43447">
        <w:rPr>
          <w:rFonts w:ascii="Times New Roman" w:hAnsi="Times New Roman"/>
          <w:noProof/>
          <w:sz w:val="28"/>
          <w:szCs w:val="28"/>
        </w:rPr>
        <w:t>СТАВКИ</w:t>
      </w:r>
      <w:r w:rsidRPr="00C43447">
        <w:rPr>
          <w:rFonts w:ascii="Times New Roman" w:hAnsi="Times New Roman"/>
          <w:noProof/>
          <w:sz w:val="28"/>
          <w:szCs w:val="28"/>
          <w:vertAlign w:val="superscript"/>
        </w:rPr>
        <w:br/>
      </w:r>
      <w:r w:rsidRPr="00C43447">
        <w:rPr>
          <w:rFonts w:ascii="Times New Roman" w:hAnsi="Times New Roman"/>
          <w:noProof/>
          <w:sz w:val="28"/>
          <w:szCs w:val="28"/>
        </w:rPr>
        <w:t>податку на нерухоме майно, відмінне від земельної ділянки</w:t>
      </w:r>
      <w:r w:rsidRPr="00C43447">
        <w:rPr>
          <w:rFonts w:ascii="Times New Roman" w:hAnsi="Times New Roman"/>
          <w:noProof/>
          <w:sz w:val="28"/>
          <w:szCs w:val="28"/>
          <w:vertAlign w:val="superscript"/>
        </w:rPr>
        <w:t>1</w:t>
      </w:r>
    </w:p>
    <w:p w:rsidR="00EC2694" w:rsidRDefault="00EC2694" w:rsidP="00EC2694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C43447">
        <w:rPr>
          <w:rFonts w:ascii="Times New Roman" w:hAnsi="Times New Roman"/>
          <w:noProof/>
          <w:sz w:val="28"/>
          <w:szCs w:val="28"/>
        </w:rPr>
        <w:t>ставки встановлюються на 202</w:t>
      </w:r>
      <w:r w:rsidRPr="00C43447">
        <w:rPr>
          <w:rFonts w:ascii="Times New Roman" w:hAnsi="Times New Roman"/>
          <w:noProof/>
          <w:sz w:val="28"/>
          <w:szCs w:val="28"/>
          <w:lang w:val="ru-RU"/>
        </w:rPr>
        <w:t>3</w:t>
      </w:r>
      <w:r w:rsidRPr="00C43447">
        <w:rPr>
          <w:rFonts w:ascii="Times New Roman" w:hAnsi="Times New Roman"/>
          <w:noProof/>
          <w:sz w:val="28"/>
          <w:szCs w:val="28"/>
        </w:rPr>
        <w:t xml:space="preserve"> рік та вводяться в дію з 01 січня 202</w:t>
      </w:r>
      <w:r w:rsidRPr="00C43447">
        <w:rPr>
          <w:rFonts w:ascii="Times New Roman" w:hAnsi="Times New Roman"/>
          <w:noProof/>
          <w:sz w:val="28"/>
          <w:szCs w:val="28"/>
          <w:lang w:val="ru-RU"/>
        </w:rPr>
        <w:t>3</w:t>
      </w:r>
      <w:r w:rsidRPr="00C43447">
        <w:rPr>
          <w:rFonts w:ascii="Times New Roman" w:hAnsi="Times New Roman"/>
          <w:noProof/>
          <w:sz w:val="28"/>
          <w:szCs w:val="28"/>
        </w:rPr>
        <w:t xml:space="preserve"> року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7F5F57" w:rsidRDefault="007F5F57" w:rsidP="00EC2694">
      <w:pPr>
        <w:pStyle w:val="ad"/>
        <w:spacing w:before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404"/>
        <w:gridCol w:w="2404"/>
        <w:gridCol w:w="2286"/>
      </w:tblGrid>
      <w:tr w:rsidR="00EC2694" w:rsidTr="00620AA2">
        <w:tc>
          <w:tcPr>
            <w:tcW w:w="2205" w:type="dxa"/>
            <w:vAlign w:val="center"/>
            <w:hideMark/>
          </w:tcPr>
          <w:p w:rsidR="00EC2694" w:rsidRDefault="00EC2694" w:rsidP="000E6664">
            <w:pPr>
              <w:pStyle w:val="ad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області</w:t>
            </w:r>
          </w:p>
        </w:tc>
        <w:tc>
          <w:tcPr>
            <w:tcW w:w="2205" w:type="dxa"/>
            <w:vAlign w:val="center"/>
            <w:hideMark/>
          </w:tcPr>
          <w:p w:rsidR="00EC2694" w:rsidRDefault="00EC2694" w:rsidP="000E6664">
            <w:pPr>
              <w:pStyle w:val="ad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району</w:t>
            </w:r>
          </w:p>
        </w:tc>
        <w:tc>
          <w:tcPr>
            <w:tcW w:w="2205" w:type="dxa"/>
            <w:vAlign w:val="center"/>
            <w:hideMark/>
          </w:tcPr>
          <w:p w:rsidR="00EC2694" w:rsidRDefault="00EC2694" w:rsidP="000E6664">
            <w:pPr>
              <w:pStyle w:val="ad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згідно з КОАТУУ</w:t>
            </w:r>
          </w:p>
        </w:tc>
        <w:tc>
          <w:tcPr>
            <w:tcW w:w="2883" w:type="dxa"/>
            <w:vAlign w:val="center"/>
            <w:hideMark/>
          </w:tcPr>
          <w:p w:rsidR="00EC2694" w:rsidRDefault="00EC2694" w:rsidP="000E6664">
            <w:pPr>
              <w:pStyle w:val="ad"/>
              <w:spacing w:before="0"/>
              <w:ind w:firstLine="34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EC2694" w:rsidRPr="000A6B6F" w:rsidTr="00620AA2">
        <w:tc>
          <w:tcPr>
            <w:tcW w:w="2205" w:type="dxa"/>
            <w:vAlign w:val="center"/>
            <w:hideMark/>
          </w:tcPr>
          <w:p w:rsidR="00EC2694" w:rsidRPr="00620AA2" w:rsidRDefault="00EC2694" w:rsidP="00620AA2">
            <w:pPr>
              <w:rPr>
                <w:rFonts w:ascii="Times New Roman" w:hAnsi="Times New Roman" w:cs="Times New Roman"/>
                <w:color w:val="000000"/>
              </w:rPr>
            </w:pPr>
            <w:r w:rsidRPr="00620AA2">
              <w:rPr>
                <w:rFonts w:ascii="Times New Roman" w:hAnsi="Times New Roman" w:cs="Times New Roman"/>
                <w:color w:val="000000"/>
              </w:rPr>
              <w:t>UA32000000000030281</w:t>
            </w:r>
          </w:p>
        </w:tc>
        <w:tc>
          <w:tcPr>
            <w:tcW w:w="2205" w:type="dxa"/>
            <w:vAlign w:val="center"/>
            <w:hideMark/>
          </w:tcPr>
          <w:p w:rsidR="00EC2694" w:rsidRPr="00620AA2" w:rsidRDefault="00EC2694" w:rsidP="00620AA2">
            <w:pPr>
              <w:rPr>
                <w:rFonts w:ascii="Times New Roman" w:hAnsi="Times New Roman" w:cs="Times New Roman"/>
                <w:color w:val="000000"/>
              </w:rPr>
            </w:pPr>
            <w:r w:rsidRPr="00620AA2">
              <w:rPr>
                <w:rFonts w:ascii="Times New Roman" w:hAnsi="Times New Roman" w:cs="Times New Roman"/>
                <w:color w:val="000000"/>
              </w:rPr>
              <w:t>UA32020000000057002</w:t>
            </w:r>
          </w:p>
        </w:tc>
        <w:tc>
          <w:tcPr>
            <w:tcW w:w="2205" w:type="dxa"/>
            <w:vAlign w:val="center"/>
            <w:hideMark/>
          </w:tcPr>
          <w:p w:rsidR="00EC2694" w:rsidRPr="00620AA2" w:rsidRDefault="00EC2694" w:rsidP="00620AA2">
            <w:pPr>
              <w:rPr>
                <w:rFonts w:ascii="Times New Roman" w:hAnsi="Times New Roman" w:cs="Times New Roman"/>
                <w:color w:val="000000"/>
              </w:rPr>
            </w:pPr>
            <w:r w:rsidRPr="00620AA2">
              <w:rPr>
                <w:rFonts w:ascii="Times New Roman" w:hAnsi="Times New Roman" w:cs="Times New Roman"/>
                <w:color w:val="000000"/>
              </w:rPr>
              <w:t>UA32020050000062595</w:t>
            </w:r>
          </w:p>
        </w:tc>
        <w:tc>
          <w:tcPr>
            <w:tcW w:w="2883" w:type="dxa"/>
            <w:hideMark/>
          </w:tcPr>
          <w:p w:rsidR="00EC2694" w:rsidRPr="00620AA2" w:rsidRDefault="00EC2694" w:rsidP="00620AA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Гребінківська селищна територіальна громада</w:t>
            </w:r>
            <w:r w:rsidRPr="00620A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EC2694" w:rsidRDefault="00EC2694" w:rsidP="00EC2694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EC2694" w:rsidRDefault="00EC2694" w:rsidP="00EC2694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6"/>
        <w:gridCol w:w="5966"/>
        <w:gridCol w:w="1310"/>
        <w:gridCol w:w="1353"/>
      </w:tblGrid>
      <w:tr w:rsidR="00EC2694" w:rsidTr="0090474A">
        <w:trPr>
          <w:trHeight w:val="20"/>
          <w:tblHeader/>
        </w:trPr>
        <w:tc>
          <w:tcPr>
            <w:tcW w:w="3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Класифікація будівель та споруд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3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20AA2">
                <w:rPr>
                  <w:rFonts w:ascii="Times New Roman" w:hAnsi="Times New Roman"/>
                  <w:noProof/>
                  <w:sz w:val="24"/>
                  <w:szCs w:val="24"/>
                </w:rPr>
                <w:t>1 кв. метр</w:t>
              </w:r>
            </w:smartTag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620AA2">
              <w:rPr>
                <w:rFonts w:ascii="Times New Roman" w:hAnsi="Times New Roman"/>
                <w:i/>
                <w:noProof/>
                <w:sz w:val="24"/>
                <w:szCs w:val="24"/>
              </w:rPr>
              <w:t>(відсотків розміру мінімальної заробітної плати)</w:t>
            </w:r>
          </w:p>
        </w:tc>
      </w:tr>
      <w:tr w:rsidR="00EC2694" w:rsidTr="0090474A">
        <w:trPr>
          <w:trHeight w:val="450"/>
          <w:tblHeader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для юридичних осіб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для фізичних осіб</w:t>
            </w:r>
          </w:p>
        </w:tc>
      </w:tr>
      <w:tr w:rsidR="00EC2694" w:rsidTr="00620AA2">
        <w:trPr>
          <w:trHeight w:val="53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620A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620A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620A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620AA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житлові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111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одноквартирні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1110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hanging="4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одноквартирні</w:t>
            </w: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1110.1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одноквартирні масової забудови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1,000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1110.2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1110.3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садибного типу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1110.4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дачні та садові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двома та більше квартирами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1121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двома квартирами</w:t>
            </w: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1121.1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двоквартирні масової забудови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1121.2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1122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Будинки з трьома та більше квартирами</w:t>
            </w: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1122.1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багатоквартирні масової забудови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1122.2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1122.3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житлові готельного типу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Гуртожитки</w:t>
            </w: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1130.1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Гуртожитки для робітників та службовців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1130.2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Гуртожитки для студентів вищих навчальних закладів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1130.3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Гуртожитки для учнів навчальних закладів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1130.4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Будинки-інтернати для людей похилого віку та інвалідів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1130.5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Будинки дитини та сирітські будинки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1130.6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Будинки для біженців, притулки для бездомних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1130.9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Будинки для колективного проживання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нежитлові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Готелі, ресторани та подібні будівлі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готельні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Готелі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Мотелі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Кемпінги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Пансіонати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Ресторани та бари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Інші будівлі для тимчасового проживання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Туристичні бази та гірські притулки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Дитячі та сімейні табори відпочинку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Центри та будинки відпочинку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1212.9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122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офісні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1220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офісні</w:t>
            </w: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1220.1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органів державного та місцевого управління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1220.2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фінансового обслуговування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1220.3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органів правосуддя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1220.4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закордонних представництв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1220.5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1220.9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торговельні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1230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торговельні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1230.1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Торгові центри, універмаги, магазини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1230.2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Криті ринки, павільйони та зали для ярмарків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1230.3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Станції технічного обслуговування автомобілів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1230.4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Їдальні, кафе, закусочні тощо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1230.5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1230.6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підприємств побутового обслуговування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620A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1230.9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торговельні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0AA2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620AA2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124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транспорту та засобів зв’язку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Вокзали, аеровокзали, будівлі засобів зв’язку та пов’язані з ними будівлі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0AA2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Вокзали та інші будівлі залізничного транспорту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міського електротранспорту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  <w:r w:rsidR="007641F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  <w:r w:rsidR="007641F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1241.5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1241.6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станцій підвісних та канатних доріг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1241.7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1241.8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  <w:r w:rsidR="007641F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0,25</w:t>
            </w:r>
            <w:r w:rsidR="007641F8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1241.9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транспорту та засобів зв’язку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A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20A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1242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Гаражі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Гаражі наземні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Гаражі підземні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Стоянки автомобільні криті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1242.4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Навіси для велосипедів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промислові та склади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промислові</w:t>
            </w: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машинобудування та металообробної промисловості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чорної металургії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хімічної та нафтохімічної промисловості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легкої промисловості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харчової промисловості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медичної та мікробіологічної промисловості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лісової, деревообробної та целюлозно-паперової промисловості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1251.9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інших промислових виробництв, включаючи поліграфічне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Резервуари, силоси та склади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Резервуари для нафти, нафтопродуктів та газу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Резервуари та ємності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Силоси для зерна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Силоси для цементу та інших сипучих матеріалів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Склади спеціальні товарні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Холодильники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Складські майданчики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Склади універсальні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1252.9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Склади та сховища інші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публічних виступів, закладів освітнього, медичного та оздоровчого призначення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публічних виступів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Театри, кінотеатри та концертні зали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1261.2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Цирки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Казино, ігорні будинки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Музичні та танцювальні зали, дискотеки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AD1374">
              <w:rPr>
                <w:rFonts w:ascii="Times New Roman" w:hAnsi="Times New Roman"/>
                <w:sz w:val="24"/>
                <w:szCs w:val="24"/>
              </w:rPr>
              <w:t>,</w:t>
            </w:r>
            <w:r w:rsidRPr="00AD137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D13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AD1374">
              <w:rPr>
                <w:rFonts w:ascii="Times New Roman" w:hAnsi="Times New Roman"/>
                <w:sz w:val="24"/>
                <w:szCs w:val="24"/>
              </w:rPr>
              <w:t>,</w:t>
            </w:r>
            <w:r w:rsidRPr="00AD137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D13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1261.9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для публічних виступів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AD1374">
              <w:rPr>
                <w:rFonts w:ascii="Times New Roman" w:hAnsi="Times New Roman"/>
                <w:sz w:val="24"/>
                <w:szCs w:val="24"/>
              </w:rPr>
              <w:t>,</w:t>
            </w:r>
            <w:r w:rsidRPr="00AD137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D13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AD1374">
              <w:rPr>
                <w:rFonts w:ascii="Times New Roman" w:hAnsi="Times New Roman"/>
                <w:sz w:val="24"/>
                <w:szCs w:val="24"/>
              </w:rPr>
              <w:t>,</w:t>
            </w:r>
            <w:r w:rsidRPr="00AD137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AD137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Музеї та бібліотеки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Музеї та художні галереї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Бібліотеки, книгосховища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Технічні центри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1262.4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Планетарії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1262.5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архівів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1262.6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зоологічних та ботанічних садів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1263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навчальних та дослідних закладів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1263.1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1263.2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вищих навчальних закладів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1263.3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шкіл та інших середніх навчальних закладів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1263.4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професійно-технічних навчальних закладів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1263.5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дошкільних та позашкільних навчальних закладів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1263.6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спеціальних навчальних закладів для дітей з особливими потребами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1263.7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закладів з фахової перепідготовки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1263.8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метеорологічних станцій, обсерваторій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1263.9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Будівлі освітніх та науково-дослідних закладів інші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лікарень та оздоровчих закладів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1264.1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Лікарні багатопрофільні територіального обслуговування, навчальних закладів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1264.2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Лікарні профільні, диспансери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1264.3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Материнські та дитячі реабілітаційні центри, пологові будинки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1264.4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Поліклініки, пункти медичного обслуговування та консультації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1264.5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Шпиталі виправних закладів, в’язниць та Збройних Сил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1264.6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Санаторії, профілакторії та центри функціональної реабілітації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1264.9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>Заклади лікувально-профілактичні та оздоровчі інші</w:t>
            </w:r>
            <w:r w:rsidRPr="00620AA2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</w:rPr>
              <w:t>Зали спортивні</w:t>
            </w:r>
            <w:r w:rsidRPr="00620AA2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1265.1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1265.2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Басейни криті для плавання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1265.3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</w:rPr>
              <w:t xml:space="preserve">Хокейні та льодові стадіони криті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620AA2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20A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1265.4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Манежі легкоатлетичні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1265.5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Тири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1265.9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Зали спортивні інші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127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нежитлові інші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сільськогосподарського призначення, лісівництва та рибного господарства</w:t>
            </w:r>
            <w:r w:rsidRPr="00AD1374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для тваринництва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для птахівництва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для зберігання зерна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силосні та сінажні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для садівництва, виноградарства та виноробства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1271.6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тепличного господарства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1271.7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рибного господарства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1271.8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підприємств лісівництва та звірівництва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1271.9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сільськогосподарського призначення інші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для культової та релігійної діяльності</w:t>
            </w:r>
            <w:r w:rsidRPr="00AD1374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1272.1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Церкви, собори, костьоли, мечеті, синагоги тощо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1272.2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Похоронні бюро та ритуальні зали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1272.3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Цвинтарі та крематорії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b/>
                <w:noProof/>
                <w:sz w:val="24"/>
                <w:szCs w:val="24"/>
              </w:rPr>
              <w:t>Пам’ятки історичні та такі, що охороняються державою</w:t>
            </w:r>
            <w:r w:rsidRPr="00AD1374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1273.1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Пам’ятки історії та архітектури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1273.2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Археологічні розкопки, руїни та історичні місця, що охороняються державою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1273.3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Меморіали, художньо-декоративні будівлі, статуї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b/>
                <w:noProof/>
                <w:sz w:val="24"/>
                <w:szCs w:val="24"/>
              </w:rPr>
              <w:t>Будівлі інші, не класифіковані раніше</w:t>
            </w:r>
            <w:r w:rsidRPr="00AD1374">
              <w:rPr>
                <w:rFonts w:ascii="Times New Roman" w:hAnsi="Times New Roman"/>
                <w:b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1274.1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Казарми Збройних Сил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1274.2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поліцейських та пожежних служб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1274.3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>Будівлі виправних закладів, в’язниць та слідчих ізоляторів</w:t>
            </w:r>
            <w:r w:rsidRPr="00AD1374"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1274.4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лазень та пралень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  <w:tr w:rsidR="00EC2694" w:rsidRPr="00AD1374" w:rsidTr="0090474A">
        <w:trPr>
          <w:trHeight w:val="2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1274.5 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</w:rPr>
              <w:t xml:space="preserve">Будівлі з облаштування населених пунктів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694" w:rsidRPr="00AD1374" w:rsidRDefault="00EC2694" w:rsidP="00AD137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D1374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</w:p>
        </w:tc>
      </w:tr>
    </w:tbl>
    <w:p w:rsidR="0090474A" w:rsidRPr="0090474A" w:rsidRDefault="0090474A" w:rsidP="009047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1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> 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90474A" w:rsidRPr="0090474A" w:rsidRDefault="0090474A" w:rsidP="0090474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2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> 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 507.</w:t>
      </w:r>
    </w:p>
    <w:p w:rsidR="0090474A" w:rsidRPr="0090474A" w:rsidRDefault="0090474A" w:rsidP="0090474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3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 Ставки податку встановлюються з урахуванням норм підпункту 12.3.7 пункту 12.3 статті 12, пункту 30.2 статті 30, пункту 266.2 статті 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90474A" w:rsidRPr="0090474A" w:rsidRDefault="0090474A" w:rsidP="0090474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4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90474A" w:rsidRPr="0090474A" w:rsidRDefault="0090474A" w:rsidP="0090474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</w:pP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>5</w:t>
      </w:r>
      <w:r w:rsidRPr="0090474A">
        <w:rPr>
          <w:rFonts w:ascii="Times New Roman" w:eastAsia="Times New Roman" w:hAnsi="Times New Roman" w:cs="Times New Roman"/>
          <w:sz w:val="20"/>
          <w:szCs w:val="20"/>
          <w:lang w:val="uk-UA"/>
        </w:rPr>
        <w:t> 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 266.2.2 пункту 266.2 та пункту 266.4 статті 266 Податкового кодексу України.</w:t>
      </w:r>
      <w:r w:rsidRPr="0090474A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 </w:t>
      </w:r>
    </w:p>
    <w:p w:rsidR="00EC2694" w:rsidRPr="0090474A" w:rsidRDefault="00EC2694" w:rsidP="00AD1374">
      <w:pPr>
        <w:pStyle w:val="ad"/>
        <w:tabs>
          <w:tab w:val="left" w:pos="6804"/>
        </w:tabs>
        <w:spacing w:before="0"/>
        <w:ind w:firstLine="0"/>
        <w:rPr>
          <w:rFonts w:ascii="Times New Roman" w:hAnsi="Times New Roman"/>
          <w:b/>
          <w:noProof/>
          <w:sz w:val="20"/>
        </w:rPr>
      </w:pPr>
    </w:p>
    <w:p w:rsidR="00EC2694" w:rsidRDefault="00DF0991" w:rsidP="00DF0991">
      <w:pPr>
        <w:pStyle w:val="ad"/>
        <w:tabs>
          <w:tab w:val="left" w:pos="6804"/>
        </w:tabs>
        <w:spacing w:before="0"/>
        <w:ind w:left="567" w:firstLine="0"/>
        <w:rPr>
          <w:rFonts w:ascii="Times New Roman" w:hAnsi="Times New Roman"/>
          <w:b/>
          <w:noProof/>
          <w:sz w:val="24"/>
          <w:szCs w:val="24"/>
        </w:rPr>
      </w:pPr>
      <w:r w:rsidRPr="00C43447">
        <w:rPr>
          <w:rFonts w:ascii="Times New Roman" w:hAnsi="Times New Roman"/>
          <w:b/>
          <w:noProof/>
          <w:sz w:val="28"/>
          <w:szCs w:val="28"/>
        </w:rPr>
        <w:t xml:space="preserve">Селищний голова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</w:t>
      </w:r>
      <w:r w:rsidRPr="00C43447">
        <w:rPr>
          <w:rFonts w:ascii="Times New Roman" w:hAnsi="Times New Roman"/>
          <w:b/>
          <w:noProof/>
          <w:sz w:val="28"/>
          <w:szCs w:val="28"/>
        </w:rPr>
        <w:t xml:space="preserve">                   Роман ЗАСУХА</w:t>
      </w:r>
    </w:p>
    <w:p w:rsidR="000E6664" w:rsidRDefault="000E6664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</w:p>
    <w:p w:rsidR="00AD1374" w:rsidRPr="006146AB" w:rsidRDefault="00AD1374" w:rsidP="000E6664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46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</w:p>
    <w:p w:rsidR="00AD1374" w:rsidRPr="006146AB" w:rsidRDefault="00AD1374" w:rsidP="00AD1374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46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рішення  </w:t>
      </w:r>
    </w:p>
    <w:p w:rsidR="00AD1374" w:rsidRDefault="00AD1374" w:rsidP="00AD1374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46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Гребінківської селищної ради</w:t>
      </w:r>
    </w:p>
    <w:p w:rsidR="00EC2694" w:rsidRDefault="00AD1374" w:rsidP="00AD1374">
      <w:pPr>
        <w:pStyle w:val="StyleZakonu1"/>
        <w:spacing w:after="0" w:line="240" w:lineRule="auto"/>
        <w:ind w:left="6372" w:hanging="1269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ru-RU"/>
        </w:rPr>
        <w:t>в</w:t>
      </w:r>
      <w:r w:rsidRPr="006146AB">
        <w:rPr>
          <w:rFonts w:eastAsia="Times New Roman"/>
          <w:b/>
          <w:sz w:val="24"/>
          <w:szCs w:val="24"/>
          <w:lang w:eastAsia="ru-RU"/>
        </w:rPr>
        <w:t>ід 12 липня 2022 року № 42</w:t>
      </w:r>
      <w:r>
        <w:rPr>
          <w:rFonts w:eastAsia="Times New Roman"/>
          <w:b/>
          <w:sz w:val="24"/>
          <w:szCs w:val="24"/>
          <w:lang w:eastAsia="ru-RU"/>
        </w:rPr>
        <w:t>4</w:t>
      </w:r>
      <w:r w:rsidRPr="006146AB">
        <w:rPr>
          <w:rFonts w:eastAsia="Times New Roman"/>
          <w:b/>
          <w:sz w:val="24"/>
          <w:szCs w:val="24"/>
          <w:lang w:eastAsia="ru-RU"/>
        </w:rPr>
        <w:t>-16-VIII</w:t>
      </w:r>
    </w:p>
    <w:p w:rsidR="00EC2694" w:rsidRPr="007E2F93" w:rsidRDefault="00EC2694" w:rsidP="00EC2694">
      <w:pPr>
        <w:pStyle w:val="a5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694" w:rsidRDefault="00EC2694" w:rsidP="00EC2694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  <w:r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</w:p>
    <w:p w:rsidR="00EC2694" w:rsidRPr="00AD1374" w:rsidRDefault="00EC2694" w:rsidP="00EC2694">
      <w:pPr>
        <w:pStyle w:val="ad"/>
        <w:spacing w:before="0"/>
        <w:jc w:val="both"/>
        <w:rPr>
          <w:rFonts w:ascii="Times New Roman" w:hAnsi="Times New Roman"/>
          <w:sz w:val="28"/>
          <w:szCs w:val="28"/>
        </w:rPr>
      </w:pPr>
      <w:r w:rsidRPr="00AD1374">
        <w:rPr>
          <w:rFonts w:ascii="Times New Roman" w:hAnsi="Times New Roman"/>
          <w:sz w:val="28"/>
          <w:szCs w:val="28"/>
        </w:rPr>
        <w:t>Пільги встановлюються на 202</w:t>
      </w:r>
      <w:r w:rsidR="000E6664">
        <w:rPr>
          <w:rFonts w:ascii="Times New Roman" w:hAnsi="Times New Roman"/>
          <w:sz w:val="28"/>
          <w:szCs w:val="28"/>
        </w:rPr>
        <w:t>3</w:t>
      </w:r>
      <w:r w:rsidRPr="00AD1374">
        <w:rPr>
          <w:rFonts w:ascii="Times New Roman" w:hAnsi="Times New Roman"/>
          <w:sz w:val="28"/>
          <w:szCs w:val="28"/>
        </w:rPr>
        <w:t xml:space="preserve"> рік та вводяться в дію з 01 січня 202</w:t>
      </w:r>
      <w:r w:rsidRPr="00AD1374">
        <w:rPr>
          <w:rFonts w:ascii="Times New Roman" w:hAnsi="Times New Roman"/>
          <w:sz w:val="28"/>
          <w:szCs w:val="28"/>
          <w:lang w:val="ru-RU"/>
        </w:rPr>
        <w:t>3</w:t>
      </w:r>
      <w:r w:rsidRPr="00AD1374">
        <w:rPr>
          <w:rFonts w:ascii="Times New Roman" w:hAnsi="Times New Roman"/>
          <w:sz w:val="28"/>
          <w:szCs w:val="28"/>
        </w:rPr>
        <w:t xml:space="preserve"> року.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404"/>
        <w:gridCol w:w="2404"/>
        <w:gridCol w:w="2133"/>
      </w:tblGrid>
      <w:tr w:rsidR="00EC2694" w:rsidTr="00620AA2">
        <w:tc>
          <w:tcPr>
            <w:tcW w:w="1152" w:type="pct"/>
            <w:vAlign w:val="center"/>
            <w:hideMark/>
          </w:tcPr>
          <w:p w:rsidR="00EC2694" w:rsidRDefault="00EC2694" w:rsidP="000E6664">
            <w:pPr>
              <w:pStyle w:val="ad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1152" w:type="pct"/>
            <w:vAlign w:val="center"/>
            <w:hideMark/>
          </w:tcPr>
          <w:p w:rsidR="00EC2694" w:rsidRDefault="00EC2694" w:rsidP="000E6664">
            <w:pPr>
              <w:pStyle w:val="ad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1152" w:type="pct"/>
            <w:vAlign w:val="center"/>
            <w:hideMark/>
          </w:tcPr>
          <w:p w:rsidR="00EC2694" w:rsidRDefault="00EC2694" w:rsidP="000E6664">
            <w:pPr>
              <w:pStyle w:val="ad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1544" w:type="pct"/>
            <w:vAlign w:val="center"/>
            <w:hideMark/>
          </w:tcPr>
          <w:p w:rsidR="00EC2694" w:rsidRDefault="00EC2694" w:rsidP="000E6664">
            <w:pPr>
              <w:pStyle w:val="ad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EC2694" w:rsidTr="000E6664">
        <w:tc>
          <w:tcPr>
            <w:tcW w:w="1152" w:type="pct"/>
            <w:vAlign w:val="center"/>
            <w:hideMark/>
          </w:tcPr>
          <w:p w:rsidR="00EC2694" w:rsidRPr="000E6664" w:rsidRDefault="00EC2694" w:rsidP="000E66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6664">
              <w:rPr>
                <w:rFonts w:ascii="Times New Roman" w:hAnsi="Times New Roman" w:cs="Times New Roman"/>
                <w:color w:val="000000"/>
              </w:rPr>
              <w:t>UA32000000000030281</w:t>
            </w:r>
          </w:p>
        </w:tc>
        <w:tc>
          <w:tcPr>
            <w:tcW w:w="1152" w:type="pct"/>
            <w:vAlign w:val="center"/>
            <w:hideMark/>
          </w:tcPr>
          <w:p w:rsidR="00EC2694" w:rsidRPr="000E6664" w:rsidRDefault="00EC2694" w:rsidP="000E66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6664">
              <w:rPr>
                <w:rFonts w:ascii="Times New Roman" w:hAnsi="Times New Roman" w:cs="Times New Roman"/>
                <w:color w:val="000000"/>
              </w:rPr>
              <w:t>UA32020000000057002</w:t>
            </w:r>
          </w:p>
        </w:tc>
        <w:tc>
          <w:tcPr>
            <w:tcW w:w="1152" w:type="pct"/>
            <w:vAlign w:val="center"/>
            <w:hideMark/>
          </w:tcPr>
          <w:p w:rsidR="00EC2694" w:rsidRPr="000E6664" w:rsidRDefault="00EC2694" w:rsidP="000E66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6664">
              <w:rPr>
                <w:rFonts w:ascii="Times New Roman" w:hAnsi="Times New Roman" w:cs="Times New Roman"/>
                <w:color w:val="000000"/>
              </w:rPr>
              <w:t>UA32020050000062595</w:t>
            </w:r>
          </w:p>
        </w:tc>
        <w:tc>
          <w:tcPr>
            <w:tcW w:w="1544" w:type="pct"/>
            <w:hideMark/>
          </w:tcPr>
          <w:p w:rsidR="00EC2694" w:rsidRPr="000E6664" w:rsidRDefault="00EC2694" w:rsidP="000E66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0E66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Гребінківська селищна територіальна громада</w:t>
            </w:r>
          </w:p>
        </w:tc>
      </w:tr>
    </w:tbl>
    <w:p w:rsidR="00EC2694" w:rsidRDefault="00EC2694" w:rsidP="00EC2694">
      <w:pPr>
        <w:pStyle w:val="ad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3143"/>
      </w:tblGrid>
      <w:tr w:rsidR="00EC2694" w:rsidTr="00D034CB">
        <w:tc>
          <w:tcPr>
            <w:tcW w:w="3349" w:type="pct"/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>Група платників, категорія/класифікація</w:t>
            </w:r>
            <w:r w:rsidRPr="000E6664">
              <w:rPr>
                <w:rFonts w:ascii="Times New Roman" w:hAnsi="Times New Roman"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1651" w:type="pct"/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>Розмір пільги</w:t>
            </w:r>
            <w:r w:rsidRPr="000E6664">
              <w:rPr>
                <w:rFonts w:ascii="Times New Roman" w:hAnsi="Times New Roman"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EC2694" w:rsidTr="00D03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E6664">
              <w:rPr>
                <w:color w:val="333333"/>
                <w:sz w:val="24"/>
                <w:szCs w:val="24"/>
                <w:shd w:val="clear" w:color="auto" w:fill="FFFFFF"/>
              </w:rPr>
              <w:t xml:space="preserve">Для квартири/квартир незалежно від їх кількості - на </w:t>
            </w:r>
            <w:r w:rsidRPr="000E6664">
              <w:rPr>
                <w:b/>
                <w:color w:val="333333"/>
                <w:sz w:val="24"/>
                <w:szCs w:val="24"/>
                <w:shd w:val="clear" w:color="auto" w:fill="FFFFFF"/>
              </w:rPr>
              <w:t>60</w:t>
            </w:r>
            <w:r w:rsidRPr="000E6664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664">
              <w:rPr>
                <w:color w:val="333333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0E6664">
              <w:rPr>
                <w:color w:val="333333"/>
                <w:sz w:val="24"/>
                <w:szCs w:val="24"/>
                <w:shd w:val="clear" w:color="auto" w:fill="FFFFFF"/>
              </w:rPr>
              <w:t>. метрів</w:t>
            </w:r>
            <w:r w:rsidRPr="000E66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694" w:rsidTr="00D03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>2. Д</w:t>
            </w:r>
            <w:r w:rsidRPr="000E6664">
              <w:rPr>
                <w:color w:val="333333"/>
                <w:sz w:val="24"/>
                <w:szCs w:val="24"/>
                <w:shd w:val="clear" w:color="auto" w:fill="FFFFFF"/>
              </w:rPr>
              <w:t xml:space="preserve">ля житлового будинку/будинків незалежно від їх кількості - на </w:t>
            </w:r>
            <w:r w:rsidRPr="000E6664">
              <w:rPr>
                <w:b/>
                <w:color w:val="333333"/>
                <w:sz w:val="24"/>
                <w:szCs w:val="24"/>
                <w:shd w:val="clear" w:color="auto" w:fill="FFFFFF"/>
              </w:rPr>
              <w:t>120</w:t>
            </w:r>
            <w:r w:rsidRPr="000E6664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E6664">
              <w:rPr>
                <w:color w:val="333333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0E6664">
              <w:rPr>
                <w:color w:val="333333"/>
                <w:sz w:val="24"/>
                <w:szCs w:val="24"/>
                <w:shd w:val="clear" w:color="auto" w:fill="FFFFFF"/>
              </w:rPr>
              <w:t>. метрів</w:t>
            </w:r>
            <w:r w:rsidRPr="000E66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694" w:rsidTr="00D03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 xml:space="preserve">3. Різні типи об’єктів житлової нерухомості, в тому числі їх часток (в разі одночасного перебування у власності платника податку квартири/квартир та житлового будинку/будинків, у тому числі їх часток), до </w:t>
            </w:r>
            <w:r w:rsidRPr="000E6664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Pr="000E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666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0E6664">
              <w:rPr>
                <w:rFonts w:ascii="Times New Roman" w:hAnsi="Times New Roman"/>
                <w:sz w:val="24"/>
                <w:szCs w:val="24"/>
              </w:rPr>
              <w:t>. метрів;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694" w:rsidTr="00D03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694" w:rsidRPr="000E6664" w:rsidRDefault="00EC2694" w:rsidP="000E6664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664">
              <w:rPr>
                <w:rFonts w:ascii="Times New Roman" w:hAnsi="Times New Roman" w:cs="Times New Roman"/>
                <w:sz w:val="24"/>
                <w:szCs w:val="24"/>
              </w:rPr>
              <w:t xml:space="preserve">4. На квартири /житлові будинки, що належать </w:t>
            </w:r>
            <w:r w:rsidR="00DD3BE8">
              <w:rPr>
                <w:rFonts w:ascii="Times New Roman" w:hAnsi="Times New Roman" w:cs="Times New Roman"/>
                <w:sz w:val="24"/>
                <w:szCs w:val="24"/>
              </w:rPr>
              <w:t>особам на яких поширюється дія Закону України «Про статус ветеранів війни, гарантії їх соціального захисту» (пільга застосовується лише для одного об’єкта житлової нерухомості на одну особу вказаної категорії)</w:t>
            </w:r>
            <w:r w:rsidRPr="000E6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694" w:rsidTr="00D03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>5. Господарські (присадибні) будівлі, допоміжні (нежитлові) приміщення, до яких належать сараї, хліви, гаражі, літні кухні, бані,</w:t>
            </w:r>
            <w:r w:rsidR="000E6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664">
              <w:rPr>
                <w:rFonts w:ascii="Times New Roman" w:hAnsi="Times New Roman"/>
                <w:sz w:val="24"/>
                <w:szCs w:val="24"/>
              </w:rPr>
              <w:t>майстерні, вбиральні, погреби, навіси, котельні, бойлерні, трансформаторні підстанції тощо, які використовуються за цільовим призначенням.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C2694" w:rsidTr="00D034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0E6664" w:rsidRDefault="00EC2694" w:rsidP="000E6664">
            <w:pPr>
              <w:pStyle w:val="ad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664">
              <w:rPr>
                <w:rFonts w:ascii="Times New Roman" w:hAnsi="Times New Roman"/>
                <w:sz w:val="24"/>
                <w:szCs w:val="24"/>
              </w:rPr>
              <w:t xml:space="preserve">6.У випадках, передбачених Податковим кодексом України </w:t>
            </w:r>
          </w:p>
        </w:tc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694" w:rsidRPr="00D034CB" w:rsidRDefault="00EC2694" w:rsidP="000E666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4CB">
              <w:rPr>
                <w:rFonts w:ascii="Times New Roman" w:hAnsi="Times New Roman"/>
                <w:sz w:val="22"/>
                <w:szCs w:val="22"/>
              </w:rPr>
              <w:t xml:space="preserve">Згідно норм Податкового кодексу України </w:t>
            </w:r>
          </w:p>
        </w:tc>
      </w:tr>
    </w:tbl>
    <w:p w:rsidR="00B62E62" w:rsidRPr="006F05B6" w:rsidRDefault="00B62E62" w:rsidP="00B62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F05B6">
        <w:rPr>
          <w:rFonts w:ascii="Times New Roman" w:eastAsia="Times New Roman" w:hAnsi="Times New Roman" w:cs="Times New Roman"/>
          <w:sz w:val="20"/>
          <w:szCs w:val="20"/>
          <w:vertAlign w:val="superscript"/>
          <w:lang w:val="uk-UA"/>
        </w:rPr>
        <w:t xml:space="preserve">1 </w:t>
      </w:r>
      <w:r w:rsidRPr="006F05B6">
        <w:rPr>
          <w:rFonts w:ascii="Times New Roman" w:eastAsia="Times New Roman" w:hAnsi="Times New Roman" w:cs="Times New Roman"/>
          <w:sz w:val="20"/>
          <w:szCs w:val="20"/>
          <w:lang w:val="uk-UA"/>
        </w:rPr>
        <w:t>Пільги визначаються з урахуванням норм підпункту 12.3.7 пункту 12.3 статті 12, пункту 30.2 статті 30, пункту 266.2 статті 266 Податкового кодексу України. У разі 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B62E62" w:rsidRDefault="00B62E62" w:rsidP="00B62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2C8" w:rsidRDefault="0090474A" w:rsidP="006F05B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3447">
        <w:rPr>
          <w:rFonts w:ascii="Times New Roman" w:hAnsi="Times New Roman"/>
          <w:b/>
          <w:noProof/>
          <w:sz w:val="28"/>
          <w:szCs w:val="28"/>
        </w:rPr>
        <w:t xml:space="preserve">Селищний голова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</w:t>
      </w:r>
      <w:r w:rsidRPr="00C43447">
        <w:rPr>
          <w:rFonts w:ascii="Times New Roman" w:hAnsi="Times New Roman"/>
          <w:b/>
          <w:noProof/>
          <w:sz w:val="28"/>
          <w:szCs w:val="28"/>
        </w:rPr>
        <w:t xml:space="preserve">                   Роман ЗАСУХА</w:t>
      </w:r>
      <w:r w:rsidR="00BA22C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</w:p>
    <w:p w:rsidR="00D034CB" w:rsidRPr="006146AB" w:rsidRDefault="00D034CB" w:rsidP="00D034CB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46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Додаток 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</w:p>
    <w:p w:rsidR="00D034CB" w:rsidRPr="006146AB" w:rsidRDefault="00D034CB" w:rsidP="00D034CB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46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 рішення  </w:t>
      </w:r>
    </w:p>
    <w:p w:rsidR="00D034CB" w:rsidRDefault="00D034CB" w:rsidP="00D034CB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46A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Гребінківської селищної ради</w:t>
      </w:r>
    </w:p>
    <w:p w:rsidR="00EC2694" w:rsidRPr="00FD243F" w:rsidRDefault="00D034CB" w:rsidP="00D034CB">
      <w:pPr>
        <w:pStyle w:val="ad"/>
        <w:spacing w:before="0"/>
        <w:ind w:firstLine="5103"/>
        <w:jc w:val="both"/>
      </w:pPr>
      <w:r>
        <w:rPr>
          <w:rFonts w:ascii="Times New Roman" w:hAnsi="Times New Roman"/>
          <w:b/>
          <w:sz w:val="24"/>
          <w:szCs w:val="24"/>
        </w:rPr>
        <w:t>в</w:t>
      </w:r>
      <w:r w:rsidRPr="006146AB">
        <w:rPr>
          <w:rFonts w:ascii="Times New Roman" w:hAnsi="Times New Roman"/>
          <w:b/>
          <w:sz w:val="24"/>
          <w:szCs w:val="24"/>
        </w:rPr>
        <w:t>ід 12 липня 2022 року № 42</w:t>
      </w:r>
      <w:r>
        <w:rPr>
          <w:b/>
          <w:sz w:val="24"/>
          <w:szCs w:val="24"/>
        </w:rPr>
        <w:t>4</w:t>
      </w:r>
      <w:r w:rsidRPr="006146AB">
        <w:rPr>
          <w:rFonts w:ascii="Times New Roman" w:hAnsi="Times New Roman"/>
          <w:b/>
          <w:sz w:val="24"/>
          <w:szCs w:val="24"/>
        </w:rPr>
        <w:t>-16-VIII</w:t>
      </w:r>
    </w:p>
    <w:p w:rsidR="00CA35C3" w:rsidRDefault="00CA35C3" w:rsidP="00D0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694" w:rsidRPr="00D034CB" w:rsidRDefault="00EC2694" w:rsidP="00D0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C2694" w:rsidRPr="00D034CB" w:rsidRDefault="00EC2694" w:rsidP="00D03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b/>
          <w:sz w:val="28"/>
          <w:szCs w:val="28"/>
          <w:lang w:val="uk-UA"/>
        </w:rPr>
        <w:t>про податок на нерухоме майно, відмінне від земельної ділянки</w:t>
      </w:r>
    </w:p>
    <w:p w:rsidR="00EC2694" w:rsidRPr="00D034CB" w:rsidRDefault="00EC2694" w:rsidP="00D034C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2694" w:rsidRPr="00D034CB" w:rsidRDefault="00EC2694" w:rsidP="00D034C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Визначення понять.</w:t>
      </w:r>
    </w:p>
    <w:p w:rsidR="00EC2694" w:rsidRPr="00D034CB" w:rsidRDefault="00EC2694" w:rsidP="00D034C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Податок на нерухоме майно, відмінне від земельної ділянки - це місцевий податок, що сплачується платниками податку за об’єкти житлової та /або нежитлової нерухомості і зараховується до місцевого бюджету.</w:t>
      </w:r>
    </w:p>
    <w:p w:rsidR="00EC2694" w:rsidRPr="00D034CB" w:rsidRDefault="00EC2694" w:rsidP="00D034C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Об’єкти житлової нерухомості - будівлі, віднесені відповідно до законодавства до житлового фонду, дачні та садові будинки. Об’єкти житлової нерухомості поділяються на такі типи:</w:t>
      </w:r>
    </w:p>
    <w:p w:rsidR="00EC2694" w:rsidRPr="00D034CB" w:rsidRDefault="00EC2694" w:rsidP="00D034C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житловий будинок - будівля капітального типу, споруджена з дотриманням вимог, встановлених законом, іншими нормативно-правовими актами, і призначена для постійного у ній проживання. Житлові будинки поділяються на житлові будинки садибного типу та житлові будинки квартирного типу різної поверховості;</w:t>
      </w:r>
    </w:p>
    <w:p w:rsidR="00EC2694" w:rsidRPr="00D034CB" w:rsidRDefault="00EC2694" w:rsidP="00D034C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житловий будинок садибного типу - житловий будинок, розташований на окремій земельній ділянці, який складається із житлових та допоміжних (нежитлових) приміщень;</w:t>
      </w:r>
    </w:p>
    <w:p w:rsidR="00EC2694" w:rsidRPr="00D034CB" w:rsidRDefault="00EC2694" w:rsidP="00D034C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прибудова до житлового будинку - частина будинку, розташована поза контуром його капітальних зовнішніх стін, і яка має з основною частиною будинку одну (або більше) спільну капітальну стіну;</w:t>
      </w:r>
    </w:p>
    <w:p w:rsidR="00EC2694" w:rsidRPr="00D034CB" w:rsidRDefault="00EC2694" w:rsidP="00D034C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квартира - ізольоване помешкання в житловому будинку, призначене та придатне для постійного у ньому проживання;</w:t>
      </w:r>
    </w:p>
    <w:p w:rsidR="00EC2694" w:rsidRPr="00D034CB" w:rsidRDefault="00EC2694" w:rsidP="00D034C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ґ)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котедж - одно -, півтора поверховий будинок невеликої житлової площі для постійного чи тимчасового проживання з присадибною ділянкою;</w:t>
      </w:r>
    </w:p>
    <w:p w:rsidR="00EC2694" w:rsidRPr="00D034CB" w:rsidRDefault="00EC2694" w:rsidP="00D034C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садовий будинок - будинок для літнього (сезонного) використання, який в питаннях нормування площі забудови, зовнішніх конструкцій та інженерного обладнання не відповідає нормативам, установленим для житлових будинків;</w:t>
      </w:r>
    </w:p>
    <w:p w:rsidR="00EC2694" w:rsidRPr="00D034CB" w:rsidRDefault="00EC2694" w:rsidP="00D034C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дачний будинок - житловий будинок для використання протягом року з метою позаміського відпочинку.</w:t>
      </w:r>
    </w:p>
    <w:p w:rsidR="00EC2694" w:rsidRPr="00D034CB" w:rsidRDefault="00EC2694" w:rsidP="00E620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Об’єкти нежитлової нерухомості – будівлі, приміщення, що не віднесені відповідно до законодавства до житлового фонду. У нежитловій нерухомості виділяють: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будівлі готельні – готелі, мотелі, кемпінги, пансіонати, ресторани та бари, туристичні бази, гірські притулки, табори для відпочинку,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адмінбудівлі з кімнатами для відпочинку, будинки відпочинку;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будівлі офісні – будівлі фінансового обслуговування, адміністративно-побутові будівлі, будівлі для конторських та адміністративних цілей;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будівлі торговельні – торгові центри, універмаги, магазини, криті ринки, павільйони та зали для ярмарків, станції технічного обслуговування автомобілів, їдальні, кафе,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 xml:space="preserve">тимчасові споруди, пункти швидкого харчування, закусочні, бази та склади підприємств торгівлі й </w:t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громадського харчування, будівлі підприємств побутового обслуговування;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гаражі – гаражі (наземні й підземні) та криті автомобільні стоянки;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ґ)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будівлі промислові та склади;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д)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будівлі для публічних виступів (казино, ігорні будинки);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е)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підстанції, бані тощо;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є)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інші будівлі.</w:t>
      </w:r>
    </w:p>
    <w:p w:rsidR="00EC2694" w:rsidRPr="00D034CB" w:rsidRDefault="00EC2694" w:rsidP="00E6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Платники податку</w:t>
      </w:r>
    </w:p>
    <w:p w:rsidR="00EC2694" w:rsidRPr="00D034CB" w:rsidRDefault="00EC2694" w:rsidP="00E620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Платниками податку є фізичні та юридичні особи, в тому числі нерезиденти, які є власниками об’єктів житлової  та/або  нежитлової нерухомості.</w:t>
      </w:r>
    </w:p>
    <w:p w:rsidR="00EC2694" w:rsidRPr="00D034CB" w:rsidRDefault="00EC2694" w:rsidP="00E620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Платниками податку, в разі перебування об’єктів житлової та/або  нежитлової  нерухомості у спільній частковій або спільній сумісній власності кількох осіб, є: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якщо об’єкт житлової та/або  нежитлової нерухомості перебуває у спільній частковій власності кількох осіб, платником податку є кожна з цих осіб за належну їй частку;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якщо об’єкт житлової та/або  нежитлової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якщо об’єкт житлової та/або 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</w:t>
      </w:r>
    </w:p>
    <w:p w:rsidR="00EC2694" w:rsidRPr="00D034CB" w:rsidRDefault="00EC2694" w:rsidP="00E6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Об’єкт оподаткування</w:t>
      </w:r>
    </w:p>
    <w:p w:rsidR="00EC2694" w:rsidRPr="00D034CB" w:rsidRDefault="00EC2694" w:rsidP="00E620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Об’єктом оподаткування є об’єкт житлової та   нежитлової нерухомості, в тому числі його частка.</w:t>
      </w:r>
    </w:p>
    <w:p w:rsidR="00EC2694" w:rsidRPr="00D034CB" w:rsidRDefault="00EC2694" w:rsidP="00E620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Звільнити від оподаткування: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підстанції, бані, тощо;</w:t>
      </w:r>
    </w:p>
    <w:p w:rsidR="00EC2694" w:rsidRPr="00D034CB" w:rsidRDefault="00EC2694" w:rsidP="00E6205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 xml:space="preserve">гуртожитки, житло, яке належить дітям-сиротам, </w:t>
      </w:r>
      <w:r w:rsidR="0090474A" w:rsidRPr="0090474A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B57B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0474A" w:rsidRPr="0090474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57BED">
        <w:rPr>
          <w:rFonts w:ascii="Times New Roman" w:hAnsi="Times New Roman" w:cs="Times New Roman"/>
          <w:sz w:val="28"/>
          <w:szCs w:val="28"/>
          <w:lang w:val="uk-UA"/>
        </w:rPr>
        <w:t>ам,</w:t>
      </w:r>
      <w:r w:rsidR="0090474A" w:rsidRPr="0090474A">
        <w:rPr>
          <w:rFonts w:ascii="Times New Roman" w:hAnsi="Times New Roman" w:cs="Times New Roman"/>
          <w:sz w:val="28"/>
          <w:szCs w:val="28"/>
          <w:lang w:val="uk-UA"/>
        </w:rPr>
        <w:t xml:space="preserve"> на яких поширюється дія Закону України «Про статус ветеранів війни, гарантії їх соціального захисту»</w:t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2694" w:rsidRPr="00D034CB" w:rsidRDefault="00EC2694" w:rsidP="00E6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База оподаткування</w:t>
      </w:r>
    </w:p>
    <w:p w:rsidR="00EC2694" w:rsidRPr="00D034CB" w:rsidRDefault="00EC2694" w:rsidP="00E620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 xml:space="preserve">Базою оподаткування є загальна площа об’єкта житлової та нежитлової нерухомості, в тому числі його часток. </w:t>
      </w:r>
    </w:p>
    <w:p w:rsidR="00EC2694" w:rsidRPr="00D034CB" w:rsidRDefault="00EC2694" w:rsidP="00E620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4.2.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 xml:space="preserve">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 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</w:t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відповідних документів платника податків, зокрема документів на право власності.</w:t>
      </w:r>
    </w:p>
    <w:p w:rsidR="00EC2694" w:rsidRPr="00D034CB" w:rsidRDefault="00EC2694" w:rsidP="00E6205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</w:t>
      </w:r>
    </w:p>
    <w:p w:rsidR="00EC2694" w:rsidRPr="00D034CB" w:rsidRDefault="00EC2694" w:rsidP="00E620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Пільги із сплати податку</w:t>
      </w:r>
    </w:p>
    <w:p w:rsidR="00EC2694" w:rsidRPr="00D034CB" w:rsidRDefault="00EC2694" w:rsidP="00CA35C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База оподаткування об’єкта/об’єктів  житлової нерухомості, в тому числі їх часток, що перебувають  у власності фізичної особи - платника податку, зменшується:</w:t>
      </w:r>
    </w:p>
    <w:p w:rsidR="00EC2694" w:rsidRPr="00D034CB" w:rsidRDefault="00EC2694" w:rsidP="00CA35C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 xml:space="preserve">для квартири/квартир незалежно від їх кількості - на 60 </w:t>
      </w:r>
      <w:proofErr w:type="spellStart"/>
      <w:r w:rsidRPr="00D034CB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D034CB">
        <w:rPr>
          <w:rFonts w:ascii="Times New Roman" w:hAnsi="Times New Roman" w:cs="Times New Roman"/>
          <w:sz w:val="28"/>
          <w:szCs w:val="28"/>
          <w:lang w:val="uk-UA"/>
        </w:rPr>
        <w:t>. метрів;</w:t>
      </w:r>
    </w:p>
    <w:p w:rsidR="00EC2694" w:rsidRPr="00D034CB" w:rsidRDefault="00EC2694" w:rsidP="00CA35C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 xml:space="preserve">для житлового будинку/будинків  незалежно від їх кількості - на 120 </w:t>
      </w:r>
      <w:proofErr w:type="spellStart"/>
      <w:r w:rsidRPr="00D034CB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D034CB">
        <w:rPr>
          <w:rFonts w:ascii="Times New Roman" w:hAnsi="Times New Roman" w:cs="Times New Roman"/>
          <w:sz w:val="28"/>
          <w:szCs w:val="28"/>
          <w:lang w:val="uk-UA"/>
        </w:rPr>
        <w:t>. метрів.</w:t>
      </w:r>
    </w:p>
    <w:p w:rsidR="00EC2694" w:rsidRPr="00D034CB" w:rsidRDefault="00EC2694" w:rsidP="00CA35C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 xml:space="preserve">для різних типів об’єктів житлової нерухомості, в тому числі їх часток ( у разі їх одночасного перебування  у власності платника податку квартири/ квартир та житлового будинку /будинків, у тому числі їх часток), - на 180 </w:t>
      </w:r>
      <w:proofErr w:type="spellStart"/>
      <w:r w:rsidRPr="00D034CB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D034CB">
        <w:rPr>
          <w:rFonts w:ascii="Times New Roman" w:hAnsi="Times New Roman" w:cs="Times New Roman"/>
          <w:sz w:val="28"/>
          <w:szCs w:val="28"/>
          <w:lang w:val="uk-UA"/>
        </w:rPr>
        <w:t>. метрів.</w:t>
      </w:r>
    </w:p>
    <w:p w:rsidR="00EC2694" w:rsidRPr="00D034CB" w:rsidRDefault="00EC2694" w:rsidP="00CA35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Таке зменшення надається один раз за кожний базовий податковий (звітній) період (рік).</w:t>
      </w:r>
    </w:p>
    <w:p w:rsidR="00EC2694" w:rsidRPr="00D034CB" w:rsidRDefault="00EC2694" w:rsidP="00CA35C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Ставка податку, база оподаткування,</w:t>
      </w:r>
      <w:r w:rsidR="00D03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порядок обчислення сум податку, строки сплати податку визначається у статті 266 Податкового кодексу України.</w:t>
      </w:r>
    </w:p>
    <w:p w:rsidR="00EC2694" w:rsidRPr="00D034CB" w:rsidRDefault="00EC2694" w:rsidP="00CA35C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Податковий період</w:t>
      </w:r>
    </w:p>
    <w:p w:rsidR="00EC2694" w:rsidRPr="00D034CB" w:rsidRDefault="00EC2694" w:rsidP="00CA35C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7.1.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Базовий податковий (звітний) період дорівнює календарному року.</w:t>
      </w:r>
    </w:p>
    <w:p w:rsidR="00EC2694" w:rsidRPr="00D034CB" w:rsidRDefault="00EC2694" w:rsidP="00CA35C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Строк та порядок сплати податку</w:t>
      </w:r>
    </w:p>
    <w:p w:rsidR="00EC2694" w:rsidRPr="00D034CB" w:rsidRDefault="00EC2694" w:rsidP="00CA35C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8.1.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Податок сплачується за місцем розташування об’єкта/об’єктів оподаткування і зараховується до сільського бюджету згідно з положеннями Бюджетного кодексу України.</w:t>
      </w:r>
    </w:p>
    <w:p w:rsidR="00EC2694" w:rsidRPr="00D034CB" w:rsidRDefault="00EC2694" w:rsidP="00CA35C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8.2.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Податкове зобов’язання за звітний рік з податку сплачується:</w:t>
      </w:r>
    </w:p>
    <w:p w:rsidR="00EC2694" w:rsidRPr="00D034CB" w:rsidRDefault="00EC2694" w:rsidP="00CA35C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фізичними особами - протягом 60 днів з дня вручення податкового повідомлення-рішення;</w:t>
      </w:r>
    </w:p>
    <w:p w:rsidR="00EC2694" w:rsidRPr="00D034CB" w:rsidRDefault="00EC2694" w:rsidP="00CA35C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4CB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E6205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034CB">
        <w:rPr>
          <w:rFonts w:ascii="Times New Roman" w:hAnsi="Times New Roman" w:cs="Times New Roman"/>
          <w:sz w:val="28"/>
          <w:szCs w:val="28"/>
          <w:lang w:val="uk-UA"/>
        </w:rPr>
        <w:t>юридичними особами -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:rsidR="00DF0991" w:rsidRDefault="00DF0991" w:rsidP="00DF0991">
      <w:pPr>
        <w:ind w:firstLine="567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C2694" w:rsidRDefault="00DF0991" w:rsidP="00DF0991">
      <w:pPr>
        <w:ind w:firstLine="567"/>
        <w:jc w:val="both"/>
      </w:pPr>
      <w:r w:rsidRPr="00C43447">
        <w:rPr>
          <w:rFonts w:ascii="Times New Roman" w:hAnsi="Times New Roman"/>
          <w:b/>
          <w:noProof/>
          <w:sz w:val="28"/>
          <w:szCs w:val="28"/>
        </w:rPr>
        <w:t xml:space="preserve">Селищний голова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</w:t>
      </w:r>
      <w:r w:rsidRPr="00C43447">
        <w:rPr>
          <w:rFonts w:ascii="Times New Roman" w:hAnsi="Times New Roman"/>
          <w:b/>
          <w:noProof/>
          <w:sz w:val="28"/>
          <w:szCs w:val="28"/>
        </w:rPr>
        <w:t xml:space="preserve">                   Роман ЗАСУХА</w:t>
      </w:r>
    </w:p>
    <w:p w:rsidR="00E62053" w:rsidRDefault="00E62053">
      <w:pPr>
        <w:spacing w:after="160" w:line="259" w:lineRule="auto"/>
        <w:rPr>
          <w:rFonts w:ascii="Segoe UI" w:eastAsia="Times New Roman" w:hAnsi="Segoe UI" w:cs="Segoe UI"/>
          <w:b/>
          <w:bCs/>
          <w:spacing w:val="-4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</w:rPr>
        <w:br w:type="page"/>
      </w:r>
    </w:p>
    <w:p w:rsidR="00EC2694" w:rsidRPr="00E62053" w:rsidRDefault="00EC2694" w:rsidP="00E62053">
      <w:pPr>
        <w:pStyle w:val="a5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62053">
        <w:rPr>
          <w:rFonts w:ascii="Times New Roman" w:hAnsi="Times New Roman" w:cs="Times New Roman"/>
          <w:b/>
          <w:bCs/>
          <w:spacing w:val="-4"/>
          <w:sz w:val="28"/>
          <w:szCs w:val="28"/>
        </w:rPr>
        <w:lastRenderedPageBreak/>
        <w:t>Експертний висновок</w:t>
      </w:r>
    </w:p>
    <w:p w:rsidR="00EC2694" w:rsidRPr="00E62053" w:rsidRDefault="00EC2694" w:rsidP="00E6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20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постійної комісії з питань державної регуляторної політики у сфері господарської діяльності Гребінківської селищної ради та виконавчого комітету на території Гребінківської територіальної громади щодо регуляторного впливу проекту регуляторного акту «</w:t>
      </w:r>
      <w:r w:rsidRPr="00E6205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Про встановлення ставок та пільг  із сплати податку на нерухоме майно, відмінне від земельної ділянки, на 2023 рік </w:t>
      </w:r>
      <w:r w:rsidRPr="00E62053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Гребінківської селищної територіальної громади</w:t>
      </w:r>
      <w:r w:rsidRPr="00E62053">
        <w:rPr>
          <w:rFonts w:ascii="Times New Roman" w:hAnsi="Times New Roman" w:cs="Times New Roman"/>
          <w:b/>
          <w:bCs/>
          <w:sz w:val="28"/>
          <w:szCs w:val="28"/>
          <w:lang w:val="uk-UA"/>
        </w:rPr>
        <w:t>» та аналіз регуляторного впливу до нього</w:t>
      </w:r>
    </w:p>
    <w:p w:rsidR="00EC2694" w:rsidRPr="00E62053" w:rsidRDefault="00EC2694" w:rsidP="00E620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2053">
        <w:rPr>
          <w:rFonts w:ascii="Times New Roman" w:hAnsi="Times New Roman" w:cs="Times New Roman"/>
          <w:sz w:val="28"/>
          <w:szCs w:val="28"/>
        </w:rPr>
        <w:t> </w:t>
      </w:r>
    </w:p>
    <w:p w:rsidR="00EC2694" w:rsidRPr="00E62053" w:rsidRDefault="00EC2694" w:rsidP="00CF654D">
      <w:pPr>
        <w:pStyle w:val="ae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62053">
        <w:rPr>
          <w:rFonts w:ascii="Times New Roman" w:hAnsi="Times New Roman"/>
          <w:b w:val="0"/>
          <w:sz w:val="28"/>
          <w:szCs w:val="28"/>
        </w:rPr>
        <w:t xml:space="preserve">Постійна комісія з питань </w:t>
      </w:r>
      <w:r w:rsidRPr="00E62053">
        <w:rPr>
          <w:rFonts w:ascii="Times New Roman" w:hAnsi="Times New Roman"/>
          <w:b w:val="0"/>
          <w:bCs/>
          <w:sz w:val="28"/>
          <w:szCs w:val="28"/>
        </w:rPr>
        <w:t xml:space="preserve">державної регуляторної політики у сфері господарської діяльності Гребінківської селищної ради та виконавчого комітету на території Гребінківської територіальної громади </w:t>
      </w:r>
      <w:r w:rsidRPr="00E62053">
        <w:rPr>
          <w:rFonts w:ascii="Times New Roman" w:hAnsi="Times New Roman"/>
          <w:b w:val="0"/>
          <w:sz w:val="28"/>
          <w:szCs w:val="28"/>
        </w:rPr>
        <w:t xml:space="preserve">(надалі – постійна комісія), керуючись статтями 4, 8, 34 Закону України «Про засади державної регуляторної політики у сфері господарської діяльності», розглянула проект рішення Гребінківської селищної ради </w:t>
      </w:r>
      <w:r w:rsidRPr="00E62053">
        <w:rPr>
          <w:rFonts w:ascii="Times New Roman" w:hAnsi="Times New Roman"/>
          <w:b w:val="0"/>
          <w:bCs/>
          <w:sz w:val="28"/>
          <w:szCs w:val="28"/>
        </w:rPr>
        <w:t>«</w:t>
      </w:r>
      <w:r w:rsidRPr="00E62053">
        <w:rPr>
          <w:rFonts w:ascii="Times New Roman" w:hAnsi="Times New Roman"/>
          <w:b w:val="0"/>
          <w:noProof/>
          <w:sz w:val="28"/>
          <w:szCs w:val="28"/>
        </w:rPr>
        <w:t xml:space="preserve">Про встановлення ставок та пільг із сплати податку на нерухоме майно, відмінне від земельної ділянки, на 2023 рік </w:t>
      </w:r>
      <w:r w:rsidRPr="00E62053">
        <w:rPr>
          <w:rFonts w:ascii="Times New Roman" w:hAnsi="Times New Roman"/>
          <w:b w:val="0"/>
          <w:sz w:val="28"/>
          <w:szCs w:val="28"/>
        </w:rPr>
        <w:t>на території Гребінківської селищної територіальної громади</w:t>
      </w:r>
      <w:r w:rsidRPr="00E62053">
        <w:rPr>
          <w:rFonts w:ascii="Times New Roman" w:hAnsi="Times New Roman"/>
          <w:b w:val="0"/>
          <w:bCs/>
          <w:sz w:val="28"/>
          <w:szCs w:val="28"/>
        </w:rPr>
        <w:t xml:space="preserve">» </w:t>
      </w:r>
      <w:r w:rsidRPr="00E62053">
        <w:rPr>
          <w:rFonts w:ascii="Times New Roman" w:hAnsi="Times New Roman"/>
          <w:b w:val="0"/>
          <w:sz w:val="28"/>
          <w:szCs w:val="28"/>
        </w:rPr>
        <w:t>та аналіз регуляторного впливу до нього. За результатами розгляду, встановила наступне</w:t>
      </w:r>
      <w:r w:rsidR="00CF654D">
        <w:rPr>
          <w:rFonts w:ascii="Times New Roman" w:hAnsi="Times New Roman"/>
          <w:b w:val="0"/>
          <w:sz w:val="28"/>
          <w:szCs w:val="28"/>
        </w:rPr>
        <w:t>:</w:t>
      </w:r>
    </w:p>
    <w:p w:rsidR="00EC2694" w:rsidRPr="00E62053" w:rsidRDefault="00EC2694" w:rsidP="00CF654D">
      <w:pPr>
        <w:pStyle w:val="af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053">
        <w:rPr>
          <w:rFonts w:ascii="Times New Roman" w:hAnsi="Times New Roman" w:cs="Times New Roman"/>
          <w:b/>
          <w:bCs/>
          <w:sz w:val="28"/>
          <w:szCs w:val="28"/>
        </w:rPr>
        <w:t xml:space="preserve">Відповідність проекту регуляторного </w:t>
      </w:r>
      <w:proofErr w:type="spellStart"/>
      <w:r w:rsidRPr="00E62053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  <w:r w:rsidRPr="00E62053">
        <w:rPr>
          <w:rFonts w:ascii="Times New Roman" w:hAnsi="Times New Roman" w:cs="Times New Roman"/>
          <w:b/>
          <w:bCs/>
          <w:sz w:val="28"/>
          <w:szCs w:val="28"/>
        </w:rPr>
        <w:t xml:space="preserve"> принципам державної регуляторної політики, встановленим статтею 4 Закону України «Про засади державної регуляторної політики у сфері господарської діяльності»</w:t>
      </w:r>
    </w:p>
    <w:p w:rsidR="00EC2694" w:rsidRPr="00E62053" w:rsidRDefault="00EC2694" w:rsidP="00CF654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53">
        <w:rPr>
          <w:rFonts w:ascii="Times New Roman" w:hAnsi="Times New Roman" w:cs="Times New Roman"/>
          <w:sz w:val="28"/>
          <w:szCs w:val="28"/>
        </w:rPr>
        <w:t xml:space="preserve">Проаналізувавши проект регуляторного </w:t>
      </w:r>
      <w:proofErr w:type="spellStart"/>
      <w:r w:rsidRPr="00E6205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62053">
        <w:rPr>
          <w:rFonts w:ascii="Times New Roman" w:hAnsi="Times New Roman" w:cs="Times New Roman"/>
          <w:sz w:val="28"/>
          <w:szCs w:val="28"/>
        </w:rPr>
        <w:t>, постійна комісія визначає наступне.</w:t>
      </w:r>
    </w:p>
    <w:p w:rsidR="00EC2694" w:rsidRPr="00E62053" w:rsidRDefault="00EC2694" w:rsidP="00CF654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53">
        <w:rPr>
          <w:rFonts w:ascii="Times New Roman" w:hAnsi="Times New Roman" w:cs="Times New Roman"/>
          <w:sz w:val="28"/>
          <w:szCs w:val="28"/>
        </w:rPr>
        <w:t>В цілому при підготовці проекту регуляторного акту витримана послідовність регуляторної діяльності: проект відповідає цілям державної регуляторної політики, а також його включено до плану діяльності з підготовки проектів регуляторних актів на 2022 рік, оприлюднено на офіційному веб-сайті Гребінківської селищної ради в мережі Інтернет.</w:t>
      </w:r>
    </w:p>
    <w:p w:rsidR="00EC2694" w:rsidRPr="00E62053" w:rsidRDefault="00EC2694" w:rsidP="00CF654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53">
        <w:rPr>
          <w:rFonts w:ascii="Times New Roman" w:hAnsi="Times New Roman" w:cs="Times New Roman"/>
          <w:color w:val="000000"/>
          <w:sz w:val="28"/>
          <w:szCs w:val="28"/>
        </w:rPr>
        <w:t xml:space="preserve">Механізм вирішення </w:t>
      </w:r>
      <w:r w:rsidRPr="00E62053">
        <w:rPr>
          <w:rFonts w:ascii="Times New Roman" w:hAnsi="Times New Roman" w:cs="Times New Roman"/>
          <w:sz w:val="28"/>
          <w:szCs w:val="28"/>
        </w:rPr>
        <w:t xml:space="preserve">проблеми, запропонований у проекті, відповідає потребам з урахуванням усіх прийнятних альтернатив. Крім того, проект передбачає забезпечення досягнення внаслідок дії регуляторного </w:t>
      </w:r>
      <w:proofErr w:type="spellStart"/>
      <w:r w:rsidRPr="00E6205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62053">
        <w:rPr>
          <w:rFonts w:ascii="Times New Roman" w:hAnsi="Times New Roman" w:cs="Times New Roman"/>
          <w:sz w:val="28"/>
          <w:szCs w:val="28"/>
        </w:rPr>
        <w:t xml:space="preserve"> максимально можливих позитивних результатів за рахунок мінімально необхідних витрат ресурсів та балансу інтересів суб’єктів господарювання, громадян та держави.</w:t>
      </w:r>
    </w:p>
    <w:p w:rsidR="00EC2694" w:rsidRPr="00E62053" w:rsidRDefault="00EC2694" w:rsidP="00CF654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053">
        <w:rPr>
          <w:rFonts w:ascii="Times New Roman" w:hAnsi="Times New Roman" w:cs="Times New Roman"/>
          <w:sz w:val="28"/>
          <w:szCs w:val="28"/>
        </w:rPr>
        <w:t xml:space="preserve">Таким чином, проект регуляторного </w:t>
      </w:r>
      <w:proofErr w:type="spellStart"/>
      <w:r w:rsidRPr="00E6205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62053">
        <w:rPr>
          <w:rFonts w:ascii="Times New Roman" w:hAnsi="Times New Roman" w:cs="Times New Roman"/>
          <w:sz w:val="28"/>
          <w:szCs w:val="28"/>
        </w:rPr>
        <w:t xml:space="preserve"> – проект рішення селищної ради </w:t>
      </w:r>
      <w:r w:rsidRPr="00E62053">
        <w:rPr>
          <w:rFonts w:ascii="Times New Roman" w:hAnsi="Times New Roman" w:cs="Times New Roman"/>
          <w:bCs/>
          <w:sz w:val="28"/>
          <w:szCs w:val="28"/>
        </w:rPr>
        <w:t>«</w:t>
      </w:r>
      <w:r w:rsidRPr="00E62053">
        <w:rPr>
          <w:rFonts w:ascii="Times New Roman" w:hAnsi="Times New Roman" w:cs="Times New Roman"/>
          <w:noProof/>
          <w:sz w:val="28"/>
          <w:szCs w:val="28"/>
        </w:rPr>
        <w:t>Про встановлення ставок та пільг із сплати податку на нерухоме майно, відмінне від земельної ділянки</w:t>
      </w:r>
      <w:r w:rsidRPr="00E62053">
        <w:rPr>
          <w:rFonts w:ascii="Times New Roman" w:hAnsi="Times New Roman" w:cs="Times New Roman"/>
          <w:b/>
          <w:noProof/>
          <w:sz w:val="28"/>
          <w:szCs w:val="28"/>
        </w:rPr>
        <w:t xml:space="preserve">, </w:t>
      </w:r>
      <w:r w:rsidRPr="00E62053">
        <w:rPr>
          <w:rFonts w:ascii="Times New Roman" w:hAnsi="Times New Roman" w:cs="Times New Roman"/>
          <w:noProof/>
          <w:sz w:val="28"/>
          <w:szCs w:val="28"/>
        </w:rPr>
        <w:t>на 2023 рік</w:t>
      </w:r>
      <w:r w:rsidRPr="00E6205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E62053">
        <w:rPr>
          <w:rFonts w:ascii="Times New Roman" w:hAnsi="Times New Roman" w:cs="Times New Roman"/>
          <w:sz w:val="28"/>
          <w:szCs w:val="28"/>
        </w:rPr>
        <w:t>на території Гребінківської селищної територіальної громади</w:t>
      </w:r>
      <w:r w:rsidRPr="00E6205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62053">
        <w:rPr>
          <w:rFonts w:ascii="Times New Roman" w:hAnsi="Times New Roman" w:cs="Times New Roman"/>
          <w:sz w:val="28"/>
          <w:szCs w:val="28"/>
        </w:rPr>
        <w:t>відповідає усім принципам державної регуляторної політики, встановленим статтею 4 Закону України «Про засади державної регуляторної політики у сфері господарської діяльності», а саме: доцільність, адекватність, ефективність, збалансованість, передбачуваність, прозорість та врахування громадської думки.</w:t>
      </w:r>
    </w:p>
    <w:p w:rsidR="00EC2694" w:rsidRPr="00E62053" w:rsidRDefault="00EC2694" w:rsidP="00CF654D">
      <w:pPr>
        <w:pStyle w:val="a5"/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205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Відповідність проекту регуляторного </w:t>
      </w:r>
      <w:proofErr w:type="spellStart"/>
      <w:r w:rsidRPr="00E62053">
        <w:rPr>
          <w:rFonts w:ascii="Times New Roman" w:hAnsi="Times New Roman" w:cs="Times New Roman"/>
          <w:b/>
          <w:bCs/>
          <w:spacing w:val="-4"/>
          <w:sz w:val="28"/>
          <w:szCs w:val="28"/>
        </w:rPr>
        <w:t>акта</w:t>
      </w:r>
      <w:proofErr w:type="spellEnd"/>
      <w:r w:rsidRPr="00E6205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</w:t>
      </w:r>
    </w:p>
    <w:p w:rsidR="00EC2694" w:rsidRPr="00E62053" w:rsidRDefault="00EC2694" w:rsidP="00CF654D">
      <w:pPr>
        <w:pStyle w:val="12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62053">
        <w:rPr>
          <w:spacing w:val="-4"/>
          <w:sz w:val="28"/>
          <w:szCs w:val="28"/>
          <w:lang w:val="uk-UA"/>
        </w:rPr>
        <w:lastRenderedPageBreak/>
        <w:t xml:space="preserve">Стосовно вищевказаного проекту рішення розроблено аналіз регуляторного впливу та </w:t>
      </w:r>
      <w:r w:rsidRPr="00E62053">
        <w:rPr>
          <w:sz w:val="28"/>
          <w:szCs w:val="28"/>
          <w:lang w:val="uk-UA"/>
        </w:rPr>
        <w:t>оприлюднено з метою одержання зауважень та пропозицій.</w:t>
      </w:r>
    </w:p>
    <w:p w:rsidR="00EC2694" w:rsidRPr="00E62053" w:rsidRDefault="00EC2694" w:rsidP="00CF654D">
      <w:pPr>
        <w:pStyle w:val="12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62053">
        <w:rPr>
          <w:sz w:val="28"/>
          <w:szCs w:val="28"/>
          <w:lang w:val="uk-UA"/>
        </w:rPr>
        <w:t>Даним аналізом регуляторного впливу визначено та проаналізовано проблему, яку пропонується розв'язати шляхом державного регулювання господарських відносин, а також оцінено важливість цієї проблеми, обґрунтовано, чому визначена проблема не може бути розв'язана за допомогою ринкових механізмів і потребує державного регулювання.</w:t>
      </w:r>
    </w:p>
    <w:p w:rsidR="00EC2694" w:rsidRPr="00E62053" w:rsidRDefault="00EC2694" w:rsidP="00CF654D">
      <w:pPr>
        <w:pStyle w:val="12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62053">
        <w:rPr>
          <w:sz w:val="28"/>
          <w:szCs w:val="28"/>
          <w:lang w:val="uk-UA"/>
        </w:rPr>
        <w:t xml:space="preserve">Визначено цілі державного регулювання, та оцінено усі прийнятні альтернативні способи досягнення встановлених цілей, у тому числі ті з них, які не передбачають безпосереднього державного регулювання господарських відносин, аргументовано переваги обраного способу досягнення встановлених цілей. Описано механізми і заходи, які забезпечать розв'язання визначеної проблеми шляхом прийняття запропонованого регуляторного </w:t>
      </w:r>
      <w:proofErr w:type="spellStart"/>
      <w:r w:rsidRPr="00E62053">
        <w:rPr>
          <w:sz w:val="28"/>
          <w:szCs w:val="28"/>
          <w:lang w:val="uk-UA"/>
        </w:rPr>
        <w:t>акта</w:t>
      </w:r>
      <w:proofErr w:type="spellEnd"/>
      <w:r w:rsidRPr="00E62053">
        <w:rPr>
          <w:sz w:val="28"/>
          <w:szCs w:val="28"/>
          <w:lang w:val="uk-UA"/>
        </w:rPr>
        <w:t xml:space="preserve"> та обґрунтовано можливість досягнення встановлених цілей у разі прийняття запропонованого регуляторного </w:t>
      </w:r>
      <w:proofErr w:type="spellStart"/>
      <w:r w:rsidRPr="00E62053">
        <w:rPr>
          <w:sz w:val="28"/>
          <w:szCs w:val="28"/>
          <w:lang w:val="uk-UA"/>
        </w:rPr>
        <w:t>акта</w:t>
      </w:r>
      <w:proofErr w:type="spellEnd"/>
      <w:r w:rsidRPr="00E62053">
        <w:rPr>
          <w:sz w:val="28"/>
          <w:szCs w:val="28"/>
          <w:lang w:val="uk-UA"/>
        </w:rPr>
        <w:t xml:space="preserve">, та доведено, що досягнення запропонованим регуляторним актом встановлених цілей є можливим з найменшими витратами для суб'єктів господарювання, громадян та держави, а вигоди, які виникатимуть внаслідок дії запропонованого регуляторного </w:t>
      </w:r>
      <w:proofErr w:type="spellStart"/>
      <w:r w:rsidRPr="00E62053">
        <w:rPr>
          <w:sz w:val="28"/>
          <w:szCs w:val="28"/>
          <w:lang w:val="uk-UA"/>
        </w:rPr>
        <w:t>акта</w:t>
      </w:r>
      <w:proofErr w:type="spellEnd"/>
      <w:r w:rsidRPr="00E62053">
        <w:rPr>
          <w:sz w:val="28"/>
          <w:szCs w:val="28"/>
          <w:lang w:val="uk-UA"/>
        </w:rPr>
        <w:t>, виправдовують відповідні витрати у випадку, якщо витрати та/або вигоди не можуть бути кількісно визначені.</w:t>
      </w:r>
    </w:p>
    <w:p w:rsidR="00EC2694" w:rsidRPr="00E62053" w:rsidRDefault="00EC2694" w:rsidP="00CF654D">
      <w:pPr>
        <w:pStyle w:val="12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62053">
        <w:rPr>
          <w:sz w:val="28"/>
          <w:szCs w:val="28"/>
          <w:lang w:val="uk-UA"/>
        </w:rPr>
        <w:t xml:space="preserve">Обґрунтовано строк чинності регуляторного </w:t>
      </w:r>
      <w:proofErr w:type="spellStart"/>
      <w:r w:rsidRPr="00E62053">
        <w:rPr>
          <w:sz w:val="28"/>
          <w:szCs w:val="28"/>
          <w:lang w:val="uk-UA"/>
        </w:rPr>
        <w:t>акта</w:t>
      </w:r>
      <w:proofErr w:type="spellEnd"/>
      <w:r w:rsidRPr="00E62053">
        <w:rPr>
          <w:sz w:val="28"/>
          <w:szCs w:val="28"/>
          <w:lang w:val="uk-UA"/>
        </w:rPr>
        <w:t xml:space="preserve">, визначено показники результативності регуляторного </w:t>
      </w:r>
      <w:proofErr w:type="spellStart"/>
      <w:r w:rsidRPr="00E62053">
        <w:rPr>
          <w:sz w:val="28"/>
          <w:szCs w:val="28"/>
          <w:lang w:val="uk-UA"/>
        </w:rPr>
        <w:t>акта</w:t>
      </w:r>
      <w:proofErr w:type="spellEnd"/>
      <w:r w:rsidRPr="00E62053">
        <w:rPr>
          <w:sz w:val="28"/>
          <w:szCs w:val="28"/>
          <w:lang w:val="uk-UA"/>
        </w:rPr>
        <w:t xml:space="preserve"> та заходи, за допомогою яких буде здійснюватися відстеження результативності регуляторного </w:t>
      </w:r>
      <w:proofErr w:type="spellStart"/>
      <w:r w:rsidRPr="00E62053">
        <w:rPr>
          <w:sz w:val="28"/>
          <w:szCs w:val="28"/>
          <w:lang w:val="uk-UA"/>
        </w:rPr>
        <w:t>акта</w:t>
      </w:r>
      <w:proofErr w:type="spellEnd"/>
      <w:r w:rsidRPr="00E62053">
        <w:rPr>
          <w:sz w:val="28"/>
          <w:szCs w:val="28"/>
          <w:lang w:val="uk-UA"/>
        </w:rPr>
        <w:t xml:space="preserve"> в разі його прийняття.</w:t>
      </w:r>
    </w:p>
    <w:p w:rsidR="00EC2694" w:rsidRPr="00E62053" w:rsidRDefault="00EC2694" w:rsidP="00E62053">
      <w:pPr>
        <w:pStyle w:val="120"/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E62053">
        <w:rPr>
          <w:b/>
          <w:bCs/>
          <w:spacing w:val="-4"/>
          <w:sz w:val="28"/>
          <w:szCs w:val="28"/>
          <w:lang w:val="uk-UA"/>
        </w:rPr>
        <w:t>Узагальнений висновок</w:t>
      </w:r>
    </w:p>
    <w:p w:rsidR="00EC2694" w:rsidRPr="00E62053" w:rsidRDefault="00EC2694" w:rsidP="00CF6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05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проект регуляторного </w:t>
      </w:r>
      <w:proofErr w:type="spellStart"/>
      <w:r w:rsidRPr="00E6205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E62053">
        <w:rPr>
          <w:rFonts w:ascii="Times New Roman" w:hAnsi="Times New Roman" w:cs="Times New Roman"/>
          <w:sz w:val="28"/>
          <w:szCs w:val="28"/>
          <w:lang w:val="uk-UA"/>
        </w:rPr>
        <w:t xml:space="preserve"> та аналіз його регуляторного впливу, постійна комісія вважає, що проект рішення селищної ради </w:t>
      </w:r>
      <w:r w:rsidRPr="00E6205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62053">
        <w:rPr>
          <w:rFonts w:ascii="Times New Roman" w:hAnsi="Times New Roman" w:cs="Times New Roman"/>
          <w:noProof/>
          <w:sz w:val="28"/>
          <w:szCs w:val="28"/>
          <w:lang w:val="uk-UA"/>
        </w:rPr>
        <w:t>Про встановлення ставок та пільг із сплати податку на нерухоме майно, відмінне від земельної ділянки</w:t>
      </w:r>
      <w:bookmarkStart w:id="0" w:name="_GoBack"/>
      <w:r w:rsidRPr="007641F8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bookmarkEnd w:id="0"/>
      <w:r w:rsidRPr="00E6205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E62053">
        <w:rPr>
          <w:rFonts w:ascii="Times New Roman" w:hAnsi="Times New Roman" w:cs="Times New Roman"/>
          <w:noProof/>
          <w:sz w:val="28"/>
          <w:szCs w:val="28"/>
          <w:lang w:val="uk-UA"/>
        </w:rPr>
        <w:t>на 2023 рік</w:t>
      </w:r>
      <w:r w:rsidRPr="00E6205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E62053">
        <w:rPr>
          <w:rFonts w:ascii="Times New Roman" w:hAnsi="Times New Roman" w:cs="Times New Roman"/>
          <w:sz w:val="28"/>
          <w:szCs w:val="28"/>
          <w:lang w:val="uk-UA"/>
        </w:rPr>
        <w:t>на території Гребінківської селищної територіальної громади</w:t>
      </w:r>
      <w:r w:rsidRPr="00E6205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E62053">
        <w:rPr>
          <w:rFonts w:ascii="Times New Roman" w:hAnsi="Times New Roman" w:cs="Times New Roman"/>
          <w:sz w:val="28"/>
          <w:szCs w:val="28"/>
          <w:lang w:val="uk-UA"/>
        </w:rPr>
        <w:t xml:space="preserve">та аналіз його регуляторного впливу підготовлені у відповідності до вимог статей 4, 8, 34 Закону України «Про засади державної регуляторної політики у сфері господарської діяльності». </w:t>
      </w:r>
    </w:p>
    <w:p w:rsidR="00EC2694" w:rsidRPr="00E62053" w:rsidRDefault="00EC2694" w:rsidP="00E62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694" w:rsidRPr="00E62053" w:rsidRDefault="00EC2694" w:rsidP="00E62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053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</w:t>
      </w:r>
    </w:p>
    <w:p w:rsidR="00EC2694" w:rsidRPr="00E62053" w:rsidRDefault="00EC2694" w:rsidP="00E620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20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Pr="00E62053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питань державної</w:t>
      </w:r>
    </w:p>
    <w:p w:rsidR="00EC2694" w:rsidRPr="00E62053" w:rsidRDefault="00EC2694" w:rsidP="00E620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205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регуляторної політики у сфері</w:t>
      </w:r>
    </w:p>
    <w:p w:rsidR="00EC2694" w:rsidRPr="00E62053" w:rsidRDefault="00EC2694" w:rsidP="00E62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053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господарської діяльності</w:t>
      </w:r>
      <w:r w:rsidRPr="00E620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20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20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205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62053">
        <w:rPr>
          <w:rFonts w:ascii="Times New Roman" w:hAnsi="Times New Roman" w:cs="Times New Roman"/>
          <w:b/>
          <w:sz w:val="28"/>
          <w:szCs w:val="28"/>
          <w:lang w:val="uk-UA"/>
        </w:rPr>
        <w:tab/>
        <w:t>Роман ЗАСУХА</w:t>
      </w:r>
    </w:p>
    <w:p w:rsidR="00CF654D" w:rsidRDefault="00CF654D">
      <w:pPr>
        <w:spacing w:after="160" w:line="259" w:lineRule="auto"/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</w:pPr>
      <w:r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  <w:br w:type="page"/>
      </w:r>
    </w:p>
    <w:p w:rsidR="00EC2694" w:rsidRPr="00EC2694" w:rsidRDefault="00EC2694" w:rsidP="00CA35C3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kern w:val="1"/>
          <w:sz w:val="24"/>
          <w:szCs w:val="24"/>
          <w:lang w:val="uk-UA" w:eastAsia="zh-CN" w:bidi="hi-IN"/>
        </w:rPr>
      </w:pPr>
      <w:r w:rsidRPr="00EC2694">
        <w:rPr>
          <w:rFonts w:ascii="Liberation Serif" w:eastAsia="Droid Sans Fallback" w:hAnsi="Liberation Serif" w:cs="FreeSans"/>
          <w:b/>
          <w:kern w:val="1"/>
          <w:sz w:val="28"/>
          <w:szCs w:val="28"/>
          <w:lang w:val="uk-UA" w:eastAsia="zh-CN" w:bidi="hi-IN"/>
        </w:rPr>
        <w:lastRenderedPageBreak/>
        <w:t xml:space="preserve">ПОВІДОМЛЕННЯ </w:t>
      </w:r>
    </w:p>
    <w:p w:rsidR="00EC2694" w:rsidRPr="00CA35C3" w:rsidRDefault="00EC2694" w:rsidP="00CA35C3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</w:pPr>
      <w:r w:rsidRPr="00CA35C3"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uk-UA" w:eastAsia="zh-CN" w:bidi="hi-IN"/>
        </w:rPr>
        <w:t xml:space="preserve">про оприлюднення проекту регуляторного </w:t>
      </w:r>
      <w:proofErr w:type="spellStart"/>
      <w:r w:rsidRPr="00CA35C3"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uk-UA" w:eastAsia="zh-CN" w:bidi="hi-IN"/>
        </w:rPr>
        <w:t>акта</w:t>
      </w:r>
      <w:proofErr w:type="spellEnd"/>
    </w:p>
    <w:p w:rsidR="00EC2694" w:rsidRPr="00CA35C3" w:rsidRDefault="00EC2694" w:rsidP="00CA35C3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uk-UA" w:eastAsia="zh-CN" w:bidi="hi-IN"/>
        </w:rPr>
      </w:pPr>
    </w:p>
    <w:p w:rsidR="00EC2694" w:rsidRPr="00CA35C3" w:rsidRDefault="00EC2694" w:rsidP="00CA35C3">
      <w:pPr>
        <w:widowControl w:val="0"/>
        <w:shd w:val="clear" w:color="auto" w:fill="FFFFFF"/>
        <w:tabs>
          <w:tab w:val="left" w:pos="5430"/>
        </w:tabs>
        <w:spacing w:after="0" w:line="240" w:lineRule="auto"/>
        <w:ind w:right="-79" w:hanging="442"/>
        <w:jc w:val="center"/>
        <w:rPr>
          <w:rFonts w:ascii="Times New Roman" w:eastAsia="Liberation Serif" w:hAnsi="Times New Roman" w:cs="Times New Roman"/>
          <w:b/>
          <w:kern w:val="1"/>
          <w:sz w:val="28"/>
          <w:szCs w:val="28"/>
          <w:lang w:val="uk-UA"/>
        </w:rPr>
      </w:pPr>
      <w:r w:rsidRPr="00CA35C3">
        <w:rPr>
          <w:rFonts w:ascii="Times New Roman" w:eastAsia="Liberation Serif" w:hAnsi="Times New Roman" w:cs="Times New Roman"/>
          <w:b/>
          <w:kern w:val="1"/>
          <w:sz w:val="28"/>
          <w:szCs w:val="28"/>
          <w:lang w:val="uk-UA"/>
        </w:rPr>
        <w:t>Проект рішення «</w:t>
      </w:r>
      <w:r w:rsidRPr="00CA35C3">
        <w:rPr>
          <w:rFonts w:ascii="Times New Roman" w:eastAsia="Times New Roman" w:hAnsi="Times New Roman" w:cs="Times New Roman"/>
          <w:kern w:val="1"/>
          <w:sz w:val="18"/>
          <w:szCs w:val="18"/>
          <w:lang w:val="uk-UA"/>
        </w:rPr>
        <w:t xml:space="preserve"> </w:t>
      </w:r>
      <w:r w:rsidRPr="00CA35C3">
        <w:rPr>
          <w:rFonts w:ascii="Times New Roman" w:eastAsia="Liberation Serif" w:hAnsi="Times New Roman" w:cs="Times New Roman"/>
          <w:b/>
          <w:kern w:val="1"/>
          <w:sz w:val="28"/>
          <w:szCs w:val="28"/>
          <w:lang w:val="uk-UA"/>
        </w:rPr>
        <w:t>Про встановлення ставок та пільг із сплати податку на нерухоме майно, відмінне від земельної ділянки,</w:t>
      </w:r>
      <w:r w:rsidR="00CA35C3">
        <w:rPr>
          <w:rFonts w:ascii="Times New Roman" w:eastAsia="Liberation Serif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Pr="00CA35C3">
        <w:rPr>
          <w:rFonts w:ascii="Times New Roman" w:eastAsia="Liberation Serif" w:hAnsi="Times New Roman" w:cs="Times New Roman"/>
          <w:b/>
          <w:kern w:val="1"/>
          <w:sz w:val="28"/>
          <w:szCs w:val="28"/>
          <w:lang w:val="uk-UA"/>
        </w:rPr>
        <w:t>на 2023 рік</w:t>
      </w:r>
    </w:p>
    <w:p w:rsidR="00EC2694" w:rsidRPr="00CA35C3" w:rsidRDefault="00EC2694" w:rsidP="00CA35C3">
      <w:pPr>
        <w:widowControl w:val="0"/>
        <w:shd w:val="clear" w:color="auto" w:fill="FFFFFF"/>
        <w:tabs>
          <w:tab w:val="left" w:pos="5430"/>
        </w:tabs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val="uk-UA"/>
        </w:rPr>
      </w:pPr>
      <w:r w:rsidRPr="00CA35C3">
        <w:rPr>
          <w:rFonts w:ascii="Times New Roman" w:eastAsia="Liberation Serif" w:hAnsi="Times New Roman" w:cs="Times New Roman"/>
          <w:b/>
          <w:kern w:val="1"/>
          <w:sz w:val="28"/>
          <w:szCs w:val="28"/>
          <w:lang w:val="uk-UA"/>
        </w:rPr>
        <w:t>на території Гребінківської селищної територіальної громади, код згідно з КОАТУУ UA32020050000062595</w:t>
      </w:r>
      <w:r w:rsidRPr="00CA35C3">
        <w:rPr>
          <w:rFonts w:ascii="Times New Roman" w:eastAsia="Times New Roman" w:hAnsi="Times New Roman" w:cs="Times New Roman"/>
          <w:kern w:val="1"/>
          <w:sz w:val="18"/>
          <w:szCs w:val="18"/>
          <w:lang w:val="uk-UA"/>
        </w:rPr>
        <w:t xml:space="preserve"> </w:t>
      </w:r>
      <w:r w:rsidRPr="00CA35C3">
        <w:rPr>
          <w:rFonts w:ascii="Times New Roman" w:eastAsia="Liberation Serif" w:hAnsi="Times New Roman" w:cs="Times New Roman"/>
          <w:b/>
          <w:kern w:val="1"/>
          <w:sz w:val="28"/>
          <w:szCs w:val="28"/>
          <w:lang w:val="uk-UA"/>
        </w:rPr>
        <w:t>».</w:t>
      </w:r>
    </w:p>
    <w:p w:rsidR="00EC2694" w:rsidRPr="00CA35C3" w:rsidRDefault="00EC2694" w:rsidP="00CA35C3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val="uk-UA" w:eastAsia="zh-CN" w:bidi="hi-IN"/>
        </w:rPr>
      </w:pPr>
    </w:p>
    <w:p w:rsidR="00EC2694" w:rsidRPr="00CA35C3" w:rsidRDefault="00EC2694" w:rsidP="00CA35C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</w:pP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Розробник – відділ з питань </w:t>
      </w: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ab/>
        <w:t>земельних відносин та архітектури апарату виконавчого комітету Гребінківської селищної ради.</w:t>
      </w:r>
    </w:p>
    <w:p w:rsidR="00EC2694" w:rsidRPr="00CA35C3" w:rsidRDefault="00EC2694" w:rsidP="00CA35C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Відповідно до ст. 9 Закону України «Про засади державної регуляторної політики в сфері господарської діяльності» від 11.09.2003 року №1160-IV (далі-Закон) та з метою одержання зауважень і пропозицій, Відділ з питань </w:t>
      </w: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ab/>
        <w:t>земельних відносин та архітектури апарату виконавчого комітету Гребінківської селищної ради підготував проект рішення  «Про встановлення ставок та пільг із сплати податку на нерухоме майно, відмінне від земельної ділянки,</w:t>
      </w:r>
      <w:r w:rsid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 </w:t>
      </w: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на 2023 рік на території Гребінківської селищної територіальної громади, код згідно з КОАТУУ UA32020050000062595»</w:t>
      </w:r>
      <w:r w:rsidRPr="00CA35C3">
        <w:rPr>
          <w:rFonts w:ascii="Times New Roman" w:eastAsia="Droid Sans Fallback" w:hAnsi="Times New Roman" w:cs="Times New Roman"/>
          <w:bCs/>
          <w:color w:val="000000"/>
          <w:kern w:val="1"/>
          <w:sz w:val="28"/>
          <w:szCs w:val="28"/>
          <w:lang w:val="uk-UA" w:eastAsia="zh-CN" w:bidi="hi-IN"/>
        </w:rPr>
        <w:t>.</w:t>
      </w:r>
    </w:p>
    <w:p w:rsidR="00EC2694" w:rsidRPr="00CA35C3" w:rsidRDefault="00EC2694" w:rsidP="00CA35C3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val="uk-UA"/>
        </w:rPr>
      </w:pPr>
      <w:r w:rsidRPr="00CA35C3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uk-UA"/>
        </w:rPr>
        <w:t xml:space="preserve">Регуляторний акт дасть змогу забезпечити реалізацію державної політики </w:t>
      </w:r>
      <w:r w:rsidRPr="00CA35C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у сфері встановлення місцевих податків і зборів.</w:t>
      </w:r>
    </w:p>
    <w:p w:rsidR="00EC2694" w:rsidRPr="00CA35C3" w:rsidRDefault="00EC2694" w:rsidP="00CA35C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</w:pPr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З метою отримання зауважень і пропозицій проект регуляторного </w:t>
      </w:r>
      <w:proofErr w:type="spellStart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акта</w:t>
      </w:r>
      <w:proofErr w:type="spellEnd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та відповідний аналіз регуляторного впливу буде розміщено на сайті Гребінківської селищної ради </w:t>
      </w:r>
      <w:hyperlink r:id="rId7" w:history="1">
        <w:r w:rsidRPr="00CA35C3">
          <w:rPr>
            <w:rFonts w:ascii="Times New Roman" w:eastAsia="Droid Sans Fallback" w:hAnsi="Times New Roman" w:cs="Times New Roman"/>
            <w:color w:val="0000FF"/>
            <w:kern w:val="1"/>
            <w:sz w:val="28"/>
            <w:szCs w:val="28"/>
            <w:u w:val="single"/>
            <w:lang w:val="uk-UA" w:eastAsia="zh-CN" w:bidi="hi-IN"/>
          </w:rPr>
          <w:t>https://grebinky-rada.gov.ua/</w:t>
        </w:r>
      </w:hyperlink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.</w:t>
      </w:r>
    </w:p>
    <w:p w:rsidR="00EC2694" w:rsidRPr="00CA35C3" w:rsidRDefault="00EC2694" w:rsidP="00CA35C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</w:pPr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Зауваження та пропозиції щодо проекту регуляторного </w:t>
      </w:r>
      <w:proofErr w:type="spellStart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акта</w:t>
      </w:r>
      <w:proofErr w:type="spellEnd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та відповідного регуляторного впливу приймаються протягом 1 (одного) місяця </w:t>
      </w: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з дня оприлюднення </w:t>
      </w:r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шляхом письмових та усних звернень до</w:t>
      </w:r>
      <w:r w:rsidRPr="00CA35C3"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  <w:t xml:space="preserve"> </w:t>
      </w:r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Відділу з питань земельних відносин та архітектури апарату виконавчого комітету Гребінківської селищної ради. Поштова адреса розробника проекту регуляторного </w:t>
      </w:r>
      <w:proofErr w:type="spellStart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акта</w:t>
      </w:r>
      <w:proofErr w:type="spellEnd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: проспект Науки, 2, смт Гребінки, Київської області,</w:t>
      </w:r>
      <w:r w:rsidRPr="00CA35C3"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  <w:t xml:space="preserve"> </w:t>
      </w:r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Відділ з питань земельних відносин та архітектури апарату виконавчого комітету Гребінківської селищної ради, </w:t>
      </w:r>
      <w:proofErr w:type="spellStart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тел</w:t>
      </w:r>
      <w:proofErr w:type="spellEnd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. (04571)7-19-00, e-</w:t>
      </w:r>
      <w:proofErr w:type="spellStart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mail</w:t>
      </w:r>
      <w:proofErr w:type="spellEnd"/>
      <w:r w:rsidRPr="00CA35C3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: finansy_grebinky@ukr.net.</w:t>
      </w:r>
    </w:p>
    <w:p w:rsidR="00EC2694" w:rsidRPr="00CA35C3" w:rsidRDefault="00EC2694" w:rsidP="00CA35C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</w:p>
    <w:p w:rsidR="00EC2694" w:rsidRPr="00CA35C3" w:rsidRDefault="00EC2694" w:rsidP="00CA35C3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</w:p>
    <w:p w:rsidR="00EC2694" w:rsidRPr="00CA35C3" w:rsidRDefault="00EC2694" w:rsidP="00CA35C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Спеціаліст I категорії-землевпорядник</w:t>
      </w:r>
    </w:p>
    <w:p w:rsidR="00EC2694" w:rsidRPr="00CA35C3" w:rsidRDefault="00EC2694" w:rsidP="00CA35C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Відділ</w:t>
      </w:r>
      <w:r w:rsid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>у</w:t>
      </w: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 з питань земельних відносин та </w:t>
      </w:r>
    </w:p>
    <w:p w:rsidR="00EC2694" w:rsidRPr="00CA35C3" w:rsidRDefault="00EC2694" w:rsidP="00CA35C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</w:pP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архітектури апарату виконавчого комітету </w:t>
      </w:r>
    </w:p>
    <w:p w:rsidR="00EC2694" w:rsidRPr="00CA35C3" w:rsidRDefault="00EC2694" w:rsidP="00CA35C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uk-UA" w:eastAsia="zh-CN" w:bidi="hi-IN"/>
        </w:rPr>
      </w:pP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 xml:space="preserve">Гребінківської селищної ради </w:t>
      </w: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ab/>
      </w: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ab/>
      </w: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ab/>
      </w:r>
      <w:r w:rsidRPr="00CA35C3">
        <w:rPr>
          <w:rFonts w:ascii="Times New Roman" w:eastAsia="Droid Sans Fallback" w:hAnsi="Times New Roman" w:cs="Times New Roman"/>
          <w:kern w:val="1"/>
          <w:sz w:val="28"/>
          <w:szCs w:val="28"/>
          <w:lang w:val="uk-UA" w:eastAsia="zh-CN" w:bidi="hi-IN"/>
        </w:rPr>
        <w:tab/>
        <w:t>Лариса ВАСЬКОВСЬКА</w:t>
      </w:r>
    </w:p>
    <w:p w:rsidR="00EC2694" w:rsidRPr="00CA35C3" w:rsidRDefault="00EC2694" w:rsidP="00CA35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EC2694" w:rsidRPr="00CA35C3" w:rsidSect="007641F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charset w:val="00"/>
    <w:family w:val="swiss"/>
    <w:pitch w:val="variable"/>
    <w:sig w:usb0="00000287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C0846"/>
    <w:multiLevelType w:val="hybridMultilevel"/>
    <w:tmpl w:val="FAD8E3AA"/>
    <w:lvl w:ilvl="0" w:tplc="AD644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19"/>
    <w:rsid w:val="000E6664"/>
    <w:rsid w:val="00403362"/>
    <w:rsid w:val="00620AA2"/>
    <w:rsid w:val="006F05B6"/>
    <w:rsid w:val="007641F8"/>
    <w:rsid w:val="007F5F57"/>
    <w:rsid w:val="0090474A"/>
    <w:rsid w:val="00A81923"/>
    <w:rsid w:val="00A97AD6"/>
    <w:rsid w:val="00AD1374"/>
    <w:rsid w:val="00B22AAC"/>
    <w:rsid w:val="00B57BED"/>
    <w:rsid w:val="00B62E62"/>
    <w:rsid w:val="00BA22C8"/>
    <w:rsid w:val="00C43447"/>
    <w:rsid w:val="00CA35C3"/>
    <w:rsid w:val="00CE6F19"/>
    <w:rsid w:val="00CF654D"/>
    <w:rsid w:val="00D034CB"/>
    <w:rsid w:val="00DD3BE8"/>
    <w:rsid w:val="00DF0991"/>
    <w:rsid w:val="00E62053"/>
    <w:rsid w:val="00EC2694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FA60D"/>
  <w15:chartTrackingRefBased/>
  <w15:docId w15:val="{983745B7-33E7-423B-88CC-3869C299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6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69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EC2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694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69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C2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2694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EC26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269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C2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uiPriority w:val="99"/>
    <w:unhideWhenUsed/>
    <w:qFormat/>
    <w:rsid w:val="00EC2694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EC2694"/>
    <w:rPr>
      <w:rFonts w:ascii="Antiqua" w:hAnsi="Antiqua"/>
      <w:sz w:val="26"/>
      <w:lang w:val="uk-UA"/>
    </w:rPr>
  </w:style>
  <w:style w:type="character" w:customStyle="1" w:styleId="a8">
    <w:name w:val="Нижний колонтитул Знак"/>
    <w:basedOn w:val="a0"/>
    <w:link w:val="a9"/>
    <w:uiPriority w:val="99"/>
    <w:semiHidden/>
    <w:locked/>
    <w:rsid w:val="00EC2694"/>
    <w:rPr>
      <w:rFonts w:ascii="Antiqua" w:hAnsi="Antiqua"/>
      <w:sz w:val="26"/>
      <w:lang w:val="uk-UA"/>
    </w:rPr>
  </w:style>
  <w:style w:type="character" w:customStyle="1" w:styleId="aa">
    <w:name w:val="Основной текст Знак"/>
    <w:basedOn w:val="a0"/>
    <w:link w:val="ab"/>
    <w:uiPriority w:val="99"/>
    <w:semiHidden/>
    <w:locked/>
    <w:rsid w:val="00EC2694"/>
    <w:rPr>
      <w:rFonts w:ascii="Times New Roman" w:hAnsi="Times New Roman" w:cs="Times New Roman"/>
      <w:sz w:val="28"/>
      <w:lang w:val="uk-UA"/>
    </w:rPr>
  </w:style>
  <w:style w:type="character" w:customStyle="1" w:styleId="21">
    <w:name w:val="Текст выноски Знак2"/>
    <w:basedOn w:val="a0"/>
    <w:link w:val="ac"/>
    <w:uiPriority w:val="99"/>
    <w:semiHidden/>
    <w:locked/>
    <w:rsid w:val="00EC2694"/>
    <w:rPr>
      <w:rFonts w:ascii="Segoe UI" w:hAnsi="Segoe UI" w:cs="Segoe UI"/>
      <w:sz w:val="18"/>
      <w:szCs w:val="18"/>
      <w:lang w:val="uk-UA"/>
    </w:rPr>
  </w:style>
  <w:style w:type="paragraph" w:customStyle="1" w:styleId="ad">
    <w:name w:val="Нормальний текст"/>
    <w:uiPriority w:val="99"/>
    <w:qFormat/>
    <w:rsid w:val="00EC26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e">
    <w:name w:val="Назва документа"/>
    <w:next w:val="ad"/>
    <w:qFormat/>
    <w:rsid w:val="00EC269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uiPriority w:val="99"/>
    <w:qFormat/>
    <w:rsid w:val="00EC269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uiPriority w:val="99"/>
    <w:qFormat/>
    <w:rsid w:val="00EC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zakonu">
    <w:name w:val="stylezakonu"/>
    <w:uiPriority w:val="99"/>
    <w:qFormat/>
    <w:rsid w:val="00EC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C269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StyleZakonu0">
    <w:name w:val="StyleZakonu Знак"/>
    <w:link w:val="StyleZakonu1"/>
    <w:uiPriority w:val="99"/>
    <w:locked/>
    <w:rsid w:val="00EC2694"/>
    <w:rPr>
      <w:rFonts w:ascii="Times New Roman" w:hAnsi="Times New Roman" w:cs="Times New Roman"/>
      <w:lang w:val="uk-UA"/>
    </w:rPr>
  </w:style>
  <w:style w:type="paragraph" w:customStyle="1" w:styleId="StyleZakonu1">
    <w:name w:val="StyleZakonu"/>
    <w:link w:val="StyleZakonu0"/>
    <w:uiPriority w:val="99"/>
    <w:qFormat/>
    <w:rsid w:val="00EC2694"/>
    <w:pPr>
      <w:spacing w:after="60" w:line="220" w:lineRule="exact"/>
      <w:ind w:firstLine="284"/>
      <w:jc w:val="both"/>
    </w:pPr>
    <w:rPr>
      <w:rFonts w:ascii="Times New Roman" w:hAnsi="Times New Roman" w:cs="Times New Roman"/>
      <w:lang w:val="uk-UA"/>
    </w:rPr>
  </w:style>
  <w:style w:type="character" w:customStyle="1" w:styleId="NoSpacingChar">
    <w:name w:val="No Spacing Char"/>
    <w:link w:val="22"/>
    <w:locked/>
    <w:rsid w:val="00EC2694"/>
    <w:rPr>
      <w:rFonts w:ascii="Times New Roman" w:hAnsi="Times New Roman" w:cs="Times New Roman"/>
      <w:lang w:val="uk-UA"/>
    </w:rPr>
  </w:style>
  <w:style w:type="paragraph" w:customStyle="1" w:styleId="22">
    <w:name w:val="Без интервала2"/>
    <w:link w:val="NoSpacingChar"/>
    <w:qFormat/>
    <w:rsid w:val="00EC2694"/>
    <w:pPr>
      <w:spacing w:after="0" w:line="240" w:lineRule="auto"/>
    </w:pPr>
    <w:rPr>
      <w:rFonts w:ascii="Times New Roman" w:hAnsi="Times New Roman" w:cs="Times New Roman"/>
      <w:lang w:val="uk-UA"/>
    </w:rPr>
  </w:style>
  <w:style w:type="character" w:customStyle="1" w:styleId="af">
    <w:name w:val="Подпись к таблице_"/>
    <w:link w:val="af0"/>
    <w:locked/>
    <w:rsid w:val="00EC2694"/>
    <w:rPr>
      <w:shd w:val="clear" w:color="auto" w:fill="FFFFFF"/>
    </w:rPr>
  </w:style>
  <w:style w:type="paragraph" w:customStyle="1" w:styleId="af0">
    <w:name w:val="Подпись к таблице"/>
    <w:link w:val="af"/>
    <w:qFormat/>
    <w:rsid w:val="00EC2694"/>
    <w:pPr>
      <w:widowControl w:val="0"/>
      <w:shd w:val="clear" w:color="auto" w:fill="FFFFFF"/>
      <w:spacing w:after="0" w:line="240" w:lineRule="atLeast"/>
    </w:pPr>
  </w:style>
  <w:style w:type="paragraph" w:styleId="a7">
    <w:name w:val="header"/>
    <w:basedOn w:val="a"/>
    <w:link w:val="a6"/>
    <w:uiPriority w:val="99"/>
    <w:semiHidden/>
    <w:unhideWhenUsed/>
    <w:rsid w:val="00EC2694"/>
    <w:pPr>
      <w:tabs>
        <w:tab w:val="center" w:pos="4677"/>
        <w:tab w:val="right" w:pos="9355"/>
      </w:tabs>
      <w:spacing w:after="0" w:line="240" w:lineRule="auto"/>
    </w:pPr>
    <w:rPr>
      <w:rFonts w:ascii="Antiqua" w:eastAsiaTheme="minorHAnsi" w:hAnsi="Antiqua"/>
      <w:sz w:val="26"/>
      <w:lang w:val="uk-UA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EC2694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EC2694"/>
    <w:pPr>
      <w:tabs>
        <w:tab w:val="center" w:pos="4677"/>
        <w:tab w:val="right" w:pos="9355"/>
      </w:tabs>
      <w:spacing w:after="0" w:line="240" w:lineRule="auto"/>
    </w:pPr>
    <w:rPr>
      <w:rFonts w:ascii="Antiqua" w:eastAsiaTheme="minorHAnsi" w:hAnsi="Antiqua"/>
      <w:sz w:val="26"/>
      <w:lang w:val="uk-UA" w:eastAsia="en-US"/>
    </w:rPr>
  </w:style>
  <w:style w:type="character" w:customStyle="1" w:styleId="13">
    <w:name w:val="Нижний колонтитул Знак1"/>
    <w:basedOn w:val="a0"/>
    <w:uiPriority w:val="99"/>
    <w:semiHidden/>
    <w:rsid w:val="00EC2694"/>
    <w:rPr>
      <w:rFonts w:eastAsiaTheme="minorEastAsia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EC2694"/>
    <w:pPr>
      <w:spacing w:after="120"/>
    </w:pPr>
    <w:rPr>
      <w:rFonts w:ascii="Times New Roman" w:eastAsiaTheme="minorHAnsi" w:hAnsi="Times New Roman" w:cs="Times New Roman"/>
      <w:sz w:val="28"/>
      <w:lang w:val="uk-UA" w:eastAsia="en-US"/>
    </w:rPr>
  </w:style>
  <w:style w:type="character" w:customStyle="1" w:styleId="14">
    <w:name w:val="Основной текст Знак1"/>
    <w:basedOn w:val="a0"/>
    <w:uiPriority w:val="99"/>
    <w:semiHidden/>
    <w:rsid w:val="00EC2694"/>
    <w:rPr>
      <w:rFonts w:eastAsiaTheme="minorEastAsia"/>
      <w:lang w:eastAsia="ru-RU"/>
    </w:rPr>
  </w:style>
  <w:style w:type="paragraph" w:styleId="ac">
    <w:name w:val="Balloon Text"/>
    <w:basedOn w:val="a"/>
    <w:link w:val="21"/>
    <w:uiPriority w:val="99"/>
    <w:semiHidden/>
    <w:unhideWhenUsed/>
    <w:rsid w:val="00EC2694"/>
    <w:pPr>
      <w:spacing w:after="0" w:line="240" w:lineRule="auto"/>
    </w:pPr>
    <w:rPr>
      <w:rFonts w:ascii="Segoe UI" w:eastAsiaTheme="minorHAnsi" w:hAnsi="Segoe UI" w:cs="Segoe UI"/>
      <w:sz w:val="18"/>
      <w:szCs w:val="18"/>
      <w:lang w:val="uk-UA" w:eastAsia="en-US"/>
    </w:rPr>
  </w:style>
  <w:style w:type="character" w:customStyle="1" w:styleId="af1">
    <w:name w:val="Текст выноски Знак"/>
    <w:basedOn w:val="a0"/>
    <w:uiPriority w:val="99"/>
    <w:semiHidden/>
    <w:rsid w:val="00EC269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EC269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EC2694"/>
    <w:rPr>
      <w:rFonts w:ascii="Times New Roman" w:hAnsi="Times New Roman" w:cs="Times New Roman" w:hint="default"/>
    </w:rPr>
  </w:style>
  <w:style w:type="character" w:customStyle="1" w:styleId="23">
    <w:name w:val="Стиль2"/>
    <w:rsid w:val="00EC2694"/>
  </w:style>
  <w:style w:type="table" w:styleId="af2">
    <w:name w:val="Table Grid"/>
    <w:basedOn w:val="a1"/>
    <w:uiPriority w:val="39"/>
    <w:rsid w:val="00EC26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EC2694"/>
    <w:pPr>
      <w:spacing w:after="0" w:line="240" w:lineRule="auto"/>
    </w:pPr>
    <w:rPr>
      <w:lang w:val="uk-UA"/>
    </w:rPr>
  </w:style>
  <w:style w:type="paragraph" w:customStyle="1" w:styleId="120">
    <w:name w:val="12"/>
    <w:basedOn w:val="a"/>
    <w:rsid w:val="00EC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B22AAC"/>
    <w:pPr>
      <w:spacing w:after="0" w:line="240" w:lineRule="auto"/>
      <w:jc w:val="center"/>
    </w:pPr>
    <w:rPr>
      <w:rFonts w:ascii="Courier" w:eastAsia="Times New Roman" w:hAnsi="Courier" w:cs="Times New Roman"/>
      <w:sz w:val="36"/>
      <w:szCs w:val="20"/>
    </w:rPr>
  </w:style>
  <w:style w:type="character" w:customStyle="1" w:styleId="af5">
    <w:name w:val="Заголовок Знак"/>
    <w:basedOn w:val="a0"/>
    <w:link w:val="af4"/>
    <w:rsid w:val="00B22AAC"/>
    <w:rPr>
      <w:rFonts w:ascii="Courier" w:eastAsia="Times New Roman" w:hAnsi="Courier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tychiv.k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65FD-E0BF-43C8-8DDC-48FEF45C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14</Pages>
  <Words>18376</Words>
  <Characters>10475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Ivan Ivanov</cp:lastModifiedBy>
  <cp:revision>20</cp:revision>
  <cp:lastPrinted>2022-07-25T13:34:00Z</cp:lastPrinted>
  <dcterms:created xsi:type="dcterms:W3CDTF">2022-07-01T06:56:00Z</dcterms:created>
  <dcterms:modified xsi:type="dcterms:W3CDTF">2022-07-26T07:01:00Z</dcterms:modified>
</cp:coreProperties>
</file>